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南川区新型智能建筑渣土车推广使用工作</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实施方案（征求意见稿）</w:t>
      </w:r>
    </w:p>
    <w:p>
      <w:pPr>
        <w:spacing w:line="600" w:lineRule="exact"/>
        <w:jc w:val="center"/>
        <w:rPr>
          <w:rFonts w:ascii="方正小标宋_GBK" w:hAnsi="方正小标宋_GBK" w:eastAsia="方正小标宋_GBK" w:cs="方正小标宋_GBK"/>
          <w:sz w:val="44"/>
          <w:szCs w:val="44"/>
        </w:rPr>
      </w:pPr>
    </w:p>
    <w:p>
      <w:pPr>
        <w:spacing w:line="560" w:lineRule="exact"/>
        <w:ind w:firstLine="640" w:firstLineChars="200"/>
        <w:rPr>
          <w:rFonts w:ascii="方正仿宋_GBK" w:hAnsi="方正仿宋_GBK" w:cs="宋体"/>
          <w:kern w:val="0"/>
          <w:szCs w:val="32"/>
        </w:rPr>
      </w:pPr>
      <w:r>
        <w:rPr>
          <w:rFonts w:ascii="方正仿宋_GBK" w:hAnsi="方正仿宋_GBK" w:cs="宋体"/>
          <w:kern w:val="0"/>
          <w:szCs w:val="32"/>
        </w:rPr>
        <w:t>为加强建筑垃圾治理，</w:t>
      </w:r>
      <w:r>
        <w:rPr>
          <w:rFonts w:hint="eastAsia" w:ascii="方正仿宋_GBK" w:hAnsi="方正仿宋_GBK" w:cs="宋体"/>
          <w:kern w:val="0"/>
          <w:szCs w:val="32"/>
        </w:rPr>
        <w:t>维护城市渣土运输秩序</w:t>
      </w:r>
      <w:r>
        <w:rPr>
          <w:rFonts w:ascii="方正仿宋_GBK" w:hAnsi="方正仿宋_GBK" w:cs="宋体"/>
          <w:kern w:val="0"/>
          <w:szCs w:val="32"/>
        </w:rPr>
        <w:t>，</w:t>
      </w:r>
      <w:r>
        <w:rPr>
          <w:rFonts w:hint="eastAsia" w:ascii="方正仿宋_GBK" w:hAnsi="方正仿宋_GBK" w:cs="宋体"/>
          <w:kern w:val="0"/>
          <w:szCs w:val="32"/>
        </w:rPr>
        <w:t>确保渣土管理工作有序开展，提高南川区城市环境和管理水平。按照重庆市城市管理局、重庆市经济和信息化委员会、重庆市公安局、重庆市住房和城乡建设委员会、重庆市交通局《关于印发重庆市新型智能建筑渣土车推广使用</w:t>
      </w:r>
      <w:r>
        <w:rPr>
          <w:rFonts w:ascii="方正仿宋_GBK" w:hAnsi="方正仿宋_GBK" w:cs="宋体"/>
          <w:kern w:val="0"/>
          <w:szCs w:val="32"/>
        </w:rPr>
        <w:t>工作</w:t>
      </w:r>
      <w:r>
        <w:rPr>
          <w:rFonts w:hint="eastAsia" w:ascii="方正仿宋_GBK" w:hAnsi="方正仿宋_GBK" w:cs="宋体"/>
          <w:kern w:val="0"/>
          <w:szCs w:val="32"/>
        </w:rPr>
        <w:t>实施</w:t>
      </w:r>
      <w:r>
        <w:rPr>
          <w:rFonts w:ascii="方正仿宋_GBK" w:hAnsi="方正仿宋_GBK" w:cs="宋体"/>
          <w:kern w:val="0"/>
          <w:szCs w:val="32"/>
        </w:rPr>
        <w:t>方案的通知》（</w:t>
      </w:r>
      <w:r>
        <w:rPr>
          <w:rFonts w:hint="eastAsia" w:ascii="方正仿宋_GBK" w:hAnsi="方正仿宋_GBK" w:cs="宋体"/>
          <w:kern w:val="0"/>
          <w:szCs w:val="32"/>
        </w:rPr>
        <w:t>渝城管局〔</w:t>
      </w:r>
      <w:r>
        <w:rPr>
          <w:rFonts w:hint="eastAsia"/>
          <w:szCs w:val="32"/>
        </w:rPr>
        <w:t>2021〕139</w:t>
      </w:r>
      <w:r>
        <w:rPr>
          <w:rFonts w:ascii="方正仿宋_GBK" w:hAnsi="方正仿宋_GBK" w:cs="宋体"/>
          <w:kern w:val="0"/>
          <w:szCs w:val="32"/>
        </w:rPr>
        <w:t>号）</w:t>
      </w:r>
      <w:r>
        <w:rPr>
          <w:rFonts w:hint="eastAsia" w:ascii="方正仿宋_GBK" w:hAnsi="方正仿宋_GBK" w:cs="宋体"/>
          <w:kern w:val="0"/>
          <w:szCs w:val="32"/>
        </w:rPr>
        <w:t>的相关</w:t>
      </w:r>
      <w:r>
        <w:rPr>
          <w:rFonts w:ascii="方正仿宋_GBK" w:hAnsi="方正仿宋_GBK" w:cs="宋体"/>
          <w:kern w:val="0"/>
          <w:szCs w:val="32"/>
        </w:rPr>
        <w:t>要求</w:t>
      </w:r>
      <w:r>
        <w:rPr>
          <w:rFonts w:hint="eastAsia" w:ascii="方正仿宋_GBK" w:hAnsi="方正仿宋_GBK" w:cs="宋体"/>
          <w:kern w:val="0"/>
          <w:szCs w:val="32"/>
        </w:rPr>
        <w:t>，结合我区实际，制定本方案。</w:t>
      </w:r>
    </w:p>
    <w:p>
      <w:pPr>
        <w:spacing w:line="560" w:lineRule="exact"/>
        <w:ind w:firstLine="640" w:firstLineChars="200"/>
        <w:rPr>
          <w:rFonts w:ascii="方正黑体_GBK" w:hAnsi="方正仿宋_GBK" w:eastAsia="方正黑体_GBK" w:cs="宋体"/>
          <w:kern w:val="0"/>
          <w:szCs w:val="32"/>
        </w:rPr>
      </w:pPr>
      <w:r>
        <w:rPr>
          <w:rFonts w:hint="eastAsia" w:ascii="方正黑体_GBK" w:hAnsi="方正仿宋_GBK" w:eastAsia="方正黑体_GBK" w:cs="宋体"/>
          <w:kern w:val="0"/>
          <w:szCs w:val="32"/>
        </w:rPr>
        <w:t>一、总体要求</w:t>
      </w:r>
    </w:p>
    <w:p>
      <w:pPr>
        <w:spacing w:line="560" w:lineRule="exact"/>
        <w:ind w:firstLine="640" w:firstLineChars="200"/>
        <w:rPr>
          <w:rFonts w:ascii="方正仿宋_GBK" w:hAnsi="方正仿宋_GBK" w:cs="宋体"/>
          <w:kern w:val="0"/>
          <w:szCs w:val="32"/>
        </w:rPr>
      </w:pPr>
      <w:r>
        <w:rPr>
          <w:rFonts w:hint="eastAsia" w:ascii="方正楷体_GBK" w:hAnsi="方正仿宋_GBK" w:eastAsia="方正楷体_GBK" w:cs="宋体"/>
          <w:kern w:val="0"/>
          <w:szCs w:val="32"/>
        </w:rPr>
        <w:t>（一）工作思路。</w:t>
      </w:r>
      <w:r>
        <w:rPr>
          <w:rFonts w:hint="eastAsia" w:ascii="方正仿宋_GBK" w:hAnsi="方正仿宋_GBK" w:cs="宋体"/>
          <w:kern w:val="0"/>
          <w:szCs w:val="32"/>
        </w:rPr>
        <w:t>以习近平新时代中国特色社会主义思想为指导，基于</w:t>
      </w:r>
      <w:r>
        <w:rPr>
          <w:rFonts w:hint="eastAsia" w:ascii="方正仿宋_GBK" w:hAnsi="方正仿宋_GBK" w:cs="方正仿宋_GBK"/>
          <w:szCs w:val="32"/>
        </w:rPr>
        <w:t>《重庆市建筑垃圾密闭运输车辆技术规范》（</w:t>
      </w:r>
      <w:r>
        <w:rPr>
          <w:rFonts w:hint="eastAsia"/>
        </w:rPr>
        <w:t>CG</w:t>
      </w:r>
      <w:r>
        <w:t>0</w:t>
      </w:r>
      <w:r>
        <w:rPr>
          <w:rFonts w:hint="eastAsia"/>
        </w:rPr>
        <w:t>35-2020</w:t>
      </w:r>
      <w:r>
        <w:rPr>
          <w:rFonts w:hint="eastAsia" w:ascii="方正仿宋_GBK" w:hAnsi="方正仿宋_GBK" w:cs="方正仿宋_GBK"/>
          <w:szCs w:val="32"/>
        </w:rPr>
        <w:t>）和《重庆市新型智能建筑渣土车推广使用工作实施方案》，按照政府引导、企业自主、市场调剂原则和建筑渣土运输管理规范化、智能化、标准化要求，充分发挥行业引领和市场主导作用，统筹兼顾、分步实施，积极稳妥推广新型智能建筑渣土车。</w:t>
      </w:r>
    </w:p>
    <w:p>
      <w:pPr>
        <w:spacing w:line="560" w:lineRule="exact"/>
        <w:ind w:firstLine="640" w:firstLineChars="200"/>
        <w:rPr>
          <w:rFonts w:ascii="方正楷体_GBK" w:hAnsi="方正仿宋_GBK" w:eastAsia="方正楷体_GBK" w:cs="宋体"/>
          <w:kern w:val="0"/>
          <w:szCs w:val="32"/>
        </w:rPr>
      </w:pPr>
      <w:r>
        <w:rPr>
          <w:rFonts w:hint="eastAsia" w:ascii="方正楷体_GBK" w:hAnsi="方正仿宋_GBK" w:eastAsia="方正楷体_GBK" w:cs="宋体"/>
          <w:kern w:val="0"/>
          <w:szCs w:val="32"/>
        </w:rPr>
        <w:t>（二）基本原则。</w:t>
      </w:r>
    </w:p>
    <w:p>
      <w:pPr>
        <w:spacing w:line="560" w:lineRule="exact"/>
        <w:ind w:firstLine="643" w:firstLineChars="200"/>
        <w:rPr>
          <w:szCs w:val="32"/>
        </w:rPr>
      </w:pPr>
      <w:r>
        <w:rPr>
          <w:rFonts w:hint="eastAsia" w:eastAsia="方正楷体_GBK"/>
          <w:b/>
          <w:szCs w:val="32"/>
        </w:rPr>
        <w:t>1.</w:t>
      </w:r>
      <w:r>
        <w:rPr>
          <w:rFonts w:hint="eastAsia"/>
          <w:b/>
          <w:szCs w:val="32"/>
        </w:rPr>
        <w:t>政府引导，稳步实施。</w:t>
      </w:r>
      <w:r>
        <w:rPr>
          <w:rFonts w:hint="eastAsia"/>
          <w:szCs w:val="32"/>
        </w:rPr>
        <w:t>充分考虑我区建筑垃圾运输管理实际，强化渣土运输监管，严防运输车辆“抛、洒、滴、漏”以及超载超速等现象。逐步推进新型智能建筑渣土车使用，引导老式渣土车退出渣土运输市场，确保新老渣土车更替平稳过渡。</w:t>
      </w:r>
    </w:p>
    <w:p>
      <w:pPr>
        <w:spacing w:line="560" w:lineRule="exact"/>
        <w:ind w:firstLine="643" w:firstLineChars="200"/>
        <w:rPr>
          <w:szCs w:val="32"/>
        </w:rPr>
      </w:pPr>
      <w:r>
        <w:rPr>
          <w:rFonts w:hint="eastAsia"/>
          <w:b/>
          <w:szCs w:val="32"/>
        </w:rPr>
        <w:t>2.部门联动，形成合力。</w:t>
      </w:r>
      <w:r>
        <w:rPr>
          <w:rFonts w:hint="eastAsia"/>
          <w:szCs w:val="32"/>
        </w:rPr>
        <w:t>坚持高位协调推动，注重部门联动，组织辖区城市管理、公安、住房城乡建委、交通等部门分工协作，建立形成车辆入户登记、工程招标使用、行政许可审批和建筑工地、运输沿线、消纳场监管执法等全链条闭环管理责任体系。</w:t>
      </w:r>
    </w:p>
    <w:p>
      <w:pPr>
        <w:spacing w:line="560" w:lineRule="exact"/>
        <w:ind w:firstLine="643" w:firstLineChars="200"/>
        <w:rPr>
          <w:rFonts w:ascii="方正仿宋_GBK" w:hAnsi="方正仿宋_GBK" w:cs="宋体"/>
          <w:kern w:val="0"/>
          <w:szCs w:val="32"/>
        </w:rPr>
      </w:pPr>
      <w:r>
        <w:rPr>
          <w:rFonts w:hint="eastAsia"/>
          <w:b/>
          <w:szCs w:val="32"/>
        </w:rPr>
        <w:t>3.</w:t>
      </w:r>
      <w:r>
        <w:rPr>
          <w:rFonts w:hint="eastAsia" w:ascii="方正仿宋_GBK" w:hAnsi="方正仿宋_GBK" w:cs="方正仿宋_GBK"/>
          <w:b/>
          <w:szCs w:val="32"/>
        </w:rPr>
        <w:t>严格标准，规范管理。</w:t>
      </w:r>
      <w:r>
        <w:rPr>
          <w:szCs w:val="32"/>
        </w:rPr>
        <w:t>明确新型智能建筑渣土车标准，广泛宣传，积极营造推广新型智能建筑渣土车良好氛围。</w:t>
      </w:r>
      <w:r>
        <w:rPr>
          <w:rFonts w:hint="eastAsia"/>
          <w:szCs w:val="32"/>
        </w:rPr>
        <w:t>加强联动管理，</w:t>
      </w:r>
      <w:r>
        <w:rPr>
          <w:rFonts w:hint="eastAsia" w:ascii="方正仿宋_GBK" w:hAnsi="方正仿宋_GBK" w:cs="方正仿宋_GBK"/>
          <w:szCs w:val="32"/>
        </w:rPr>
        <w:t>确保新型智能建筑渣土车有序推广应用。</w:t>
      </w:r>
    </w:p>
    <w:p>
      <w:pPr>
        <w:spacing w:line="560" w:lineRule="exact"/>
        <w:ind w:firstLine="640" w:firstLineChars="200"/>
        <w:rPr>
          <w:rFonts w:ascii="方正黑体_GBK" w:eastAsia="方正黑体_GBK"/>
          <w:szCs w:val="32"/>
        </w:rPr>
      </w:pPr>
      <w:r>
        <w:rPr>
          <w:rFonts w:hint="eastAsia" w:ascii="方正黑体_GBK" w:eastAsia="方正黑体_GBK"/>
          <w:szCs w:val="32"/>
        </w:rPr>
        <w:t>二、实施步骤</w:t>
      </w:r>
    </w:p>
    <w:p>
      <w:pPr>
        <w:spacing w:line="600" w:lineRule="exact"/>
        <w:ind w:firstLine="640" w:firstLineChars="200"/>
        <w:rPr>
          <w:rFonts w:ascii="方正仿宋_GBK" w:hAnsi="方正仿宋_GBK" w:cs="方正仿宋_GBK"/>
          <w:szCs w:val="32"/>
        </w:rPr>
      </w:pPr>
      <w:r>
        <w:rPr>
          <w:rFonts w:hint="eastAsia" w:ascii="方正楷体_GBK" w:hAnsi="方正仿宋_GBK" w:eastAsia="方正楷体_GBK" w:cs="方正仿宋_GBK"/>
          <w:szCs w:val="32"/>
        </w:rPr>
        <w:t>（一）</w:t>
      </w:r>
      <w:r>
        <w:rPr>
          <w:rFonts w:hint="eastAsia" w:ascii="方正楷体_GBK" w:hAnsi="方正楷体_GBK" w:eastAsia="方正楷体_GBK" w:cs="方正楷体_GBK"/>
          <w:szCs w:val="32"/>
        </w:rPr>
        <w:t>建立联动机制</w:t>
      </w:r>
      <w:r>
        <w:rPr>
          <w:rFonts w:hint="eastAsia" w:ascii="方正楷体_GBK" w:hAnsi="方正仿宋_GBK" w:eastAsia="方正楷体_GBK" w:cs="方正仿宋_GBK"/>
          <w:szCs w:val="32"/>
        </w:rPr>
        <w:t>（2024年3月1日前）</w:t>
      </w:r>
      <w:r>
        <w:rPr>
          <w:rFonts w:hint="eastAsia" w:ascii="方正楷体_GBK" w:hAnsi="方正楷体_GBK" w:eastAsia="方正楷体_GBK" w:cs="方正楷体_GBK"/>
          <w:szCs w:val="32"/>
        </w:rPr>
        <w:t>。</w:t>
      </w:r>
      <w:r>
        <w:rPr>
          <w:rFonts w:hint="eastAsia" w:ascii="方正仿宋_GBK" w:hAnsi="方正仿宋_GBK" w:cs="方正仿宋_GBK"/>
          <w:szCs w:val="32"/>
        </w:rPr>
        <w:t>坚持政府统筹、部门负责和市场调控的原则，区城市管理局、区经济信息委、区公安局、区住房城乡建委、区交通局等部门建立联动机制，分工协作，形成合力，规范南川区渣土运输车辆，逐步推进新型智能建筑渣土车推广使用。</w:t>
      </w:r>
    </w:p>
    <w:p>
      <w:pPr>
        <w:spacing w:line="560" w:lineRule="exact"/>
        <w:ind w:firstLine="640" w:firstLineChars="200"/>
        <w:rPr>
          <w:rFonts w:ascii="方正仿宋_GBK" w:hAnsi="方正仿宋_GBK" w:cs="方正仿宋_GBK"/>
          <w:szCs w:val="32"/>
        </w:rPr>
      </w:pPr>
      <w:r>
        <w:rPr>
          <w:rFonts w:hint="eastAsia" w:ascii="方正楷体_GBK" w:hAnsi="方正仿宋_GBK" w:eastAsia="方正楷体_GBK" w:cs="方正仿宋_GBK"/>
          <w:szCs w:val="32"/>
        </w:rPr>
        <w:t>（二）宣传动员阶段（2024年</w:t>
      </w:r>
      <w:r>
        <w:rPr>
          <w:rFonts w:hint="eastAsia"/>
        </w:rPr>
        <w:t>3</w:t>
      </w:r>
      <w:r>
        <w:rPr>
          <w:rFonts w:hint="eastAsia" w:ascii="方正楷体_GBK" w:hAnsi="方正楷体_GBK" w:eastAsia="方正楷体_GBK" w:cs="方正楷体_GBK"/>
          <w:szCs w:val="32"/>
        </w:rPr>
        <w:t>月</w:t>
      </w:r>
      <w:r>
        <w:rPr>
          <w:rFonts w:hint="eastAsia"/>
        </w:rPr>
        <w:t>1</w:t>
      </w:r>
      <w:r>
        <w:rPr>
          <w:rFonts w:hint="eastAsia" w:ascii="方正楷体_GBK" w:hAnsi="方正楷体_GBK" w:eastAsia="方正楷体_GBK" w:cs="方正楷体_GBK"/>
          <w:szCs w:val="32"/>
        </w:rPr>
        <w:t>日至</w:t>
      </w:r>
      <w:r>
        <w:rPr>
          <w:rFonts w:hint="eastAsia"/>
        </w:rPr>
        <w:t>2024</w:t>
      </w:r>
      <w:r>
        <w:rPr>
          <w:rFonts w:hint="eastAsia" w:ascii="方正楷体_GBK" w:hAnsi="方正楷体_GBK" w:eastAsia="方正楷体_GBK" w:cs="方正楷体_GBK"/>
          <w:szCs w:val="32"/>
        </w:rPr>
        <w:t>年</w:t>
      </w:r>
      <w:r>
        <w:rPr>
          <w:rFonts w:hint="eastAsia"/>
        </w:rPr>
        <w:t>3</w:t>
      </w:r>
      <w:r>
        <w:rPr>
          <w:rFonts w:hint="eastAsia" w:ascii="方正楷体_GBK" w:hAnsi="方正楷体_GBK" w:eastAsia="方正楷体_GBK" w:cs="方正楷体_GBK"/>
          <w:szCs w:val="32"/>
        </w:rPr>
        <w:t>月</w:t>
      </w:r>
      <w:r>
        <w:rPr>
          <w:rFonts w:hint="eastAsia"/>
        </w:rPr>
        <w:t>31</w:t>
      </w:r>
      <w:r>
        <w:rPr>
          <w:rFonts w:hint="eastAsia" w:ascii="方正楷体_GBK" w:hAnsi="方正楷体_GBK" w:eastAsia="方正楷体_GBK" w:cs="方正楷体_GBK"/>
          <w:szCs w:val="32"/>
        </w:rPr>
        <w:t>日</w:t>
      </w:r>
      <w:r>
        <w:rPr>
          <w:rFonts w:hint="eastAsia" w:ascii="方正楷体_GBK" w:hAnsi="方正仿宋_GBK" w:eastAsia="方正楷体_GBK" w:cs="方正仿宋_GBK"/>
          <w:szCs w:val="32"/>
        </w:rPr>
        <w:t>）。</w:t>
      </w:r>
      <w:r>
        <w:rPr>
          <w:rFonts w:hint="eastAsia" w:ascii="方正仿宋_GBK" w:hAnsi="方正仿宋_GBK" w:cs="方正仿宋_GBK"/>
          <w:szCs w:val="32"/>
        </w:rPr>
        <w:t>各单位结合实际采用集中培训、制发宣传资料、现场走访服务、媒体宣传等方式，广泛宣传国家关于建筑垃圾密闭运输车辆的相关规范和《重庆市建筑垃圾密闭运输车辆技术规范》（</w:t>
      </w:r>
      <w:r>
        <w:rPr>
          <w:szCs w:val="32"/>
        </w:rPr>
        <w:t>CG035-2020</w:t>
      </w:r>
      <w:r>
        <w:rPr>
          <w:rFonts w:hint="eastAsia" w:ascii="方正仿宋_GBK" w:hAnsi="方正仿宋_GBK" w:cs="方正仿宋_GBK"/>
          <w:szCs w:val="32"/>
        </w:rPr>
        <w:t>）的相关要求，营造良好工作氛围，鼓励运输企业和车主支持、参与新型智能建筑渣土车推广工作。</w:t>
      </w:r>
    </w:p>
    <w:p>
      <w:pPr>
        <w:spacing w:line="560" w:lineRule="exact"/>
        <w:ind w:firstLine="640" w:firstLineChars="200"/>
        <w:rPr>
          <w:rFonts w:ascii="方正仿宋_GBK" w:hAnsi="方正仿宋_GBK" w:cs="方正仿宋_GBK"/>
          <w:szCs w:val="32"/>
        </w:rPr>
      </w:pPr>
      <w:r>
        <w:rPr>
          <w:rFonts w:hint="eastAsia" w:ascii="方正楷体_GBK" w:hAnsi="方正仿宋_GBK" w:eastAsia="方正楷体_GBK" w:cs="方正仿宋_GBK"/>
          <w:szCs w:val="32"/>
        </w:rPr>
        <w:t>（三）全面推广阶段（2024年4月1日至2024年12月31日）。</w:t>
      </w:r>
      <w:r>
        <w:rPr>
          <w:rFonts w:hint="eastAsia" w:ascii="方正仿宋_GBK" w:hAnsi="方正仿宋_GBK" w:cs="方正仿宋_GBK"/>
          <w:szCs w:val="32"/>
        </w:rPr>
        <w:t>自</w:t>
      </w:r>
      <w:r>
        <w:rPr>
          <w:szCs w:val="32"/>
        </w:rPr>
        <w:t>2024</w:t>
      </w:r>
      <w:r>
        <w:rPr>
          <w:rFonts w:hint="eastAsia" w:ascii="方正仿宋_GBK" w:hAnsi="方正仿宋_GBK" w:cs="方正仿宋_GBK"/>
          <w:szCs w:val="32"/>
        </w:rPr>
        <w:t>年</w:t>
      </w:r>
      <w:r>
        <w:rPr>
          <w:rFonts w:hint="eastAsia"/>
          <w:szCs w:val="32"/>
        </w:rPr>
        <w:t>4</w:t>
      </w:r>
      <w:r>
        <w:rPr>
          <w:rFonts w:hint="eastAsia" w:ascii="方正仿宋_GBK" w:hAnsi="方正仿宋_GBK" w:cs="方正仿宋_GBK"/>
          <w:szCs w:val="32"/>
        </w:rPr>
        <w:t>月</w:t>
      </w:r>
      <w:r>
        <w:rPr>
          <w:rFonts w:hint="eastAsia"/>
          <w:szCs w:val="32"/>
        </w:rPr>
        <w:t>1</w:t>
      </w:r>
      <w:r>
        <w:rPr>
          <w:rFonts w:hint="eastAsia" w:ascii="方正仿宋_GBK" w:hAnsi="方正仿宋_GBK" w:cs="方正仿宋_GBK"/>
          <w:szCs w:val="32"/>
        </w:rPr>
        <w:t>日起，南川区全面推广使用新型智能建筑渣土车，开通新型智能建筑渣土车核准运输审核绿色通道，</w:t>
      </w:r>
      <w:r>
        <w:t>鼓励新增车辆和政府投资建设项目率先推广使用新型智能建筑渣土车</w:t>
      </w:r>
      <w:r>
        <w:rPr>
          <w:rFonts w:hint="eastAsia"/>
        </w:rPr>
        <w:t>；</w:t>
      </w:r>
      <w:r>
        <w:rPr>
          <w:rFonts w:hint="eastAsia" w:ascii="方正仿宋_GBK" w:hAnsi="方正仿宋_GBK" w:cs="方正仿宋_GBK"/>
          <w:szCs w:val="32"/>
        </w:rPr>
        <w:t>逐步增加新型智能建筑渣土车申请建筑垃圾处置核准（运输）证比例，至</w:t>
      </w:r>
      <w:r>
        <w:rPr>
          <w:rFonts w:hint="eastAsia"/>
          <w:szCs w:val="32"/>
        </w:rPr>
        <w:t>2024</w:t>
      </w:r>
      <w:r>
        <w:rPr>
          <w:rFonts w:hint="eastAsia" w:ascii="方正仿宋_GBK" w:hAnsi="方正仿宋_GBK" w:cs="方正仿宋_GBK"/>
          <w:szCs w:val="32"/>
        </w:rPr>
        <w:t>年</w:t>
      </w:r>
      <w:r>
        <w:rPr>
          <w:rFonts w:hint="eastAsia"/>
          <w:szCs w:val="32"/>
        </w:rPr>
        <w:t>12</w:t>
      </w:r>
      <w:r>
        <w:rPr>
          <w:rFonts w:hint="eastAsia" w:ascii="方正仿宋_GBK" w:hAnsi="方正仿宋_GBK" w:cs="方正仿宋_GBK"/>
          <w:szCs w:val="32"/>
        </w:rPr>
        <w:t>月底，力争老式渣土车退出南川区，</w:t>
      </w:r>
      <w:r>
        <w:t>新型渣车推广率</w:t>
      </w:r>
      <w:r>
        <w:rPr>
          <w:rFonts w:hint="eastAsia" w:ascii="方正仿宋_GBK" w:hAnsi="方正仿宋_GBK" w:cs="方正仿宋_GBK"/>
          <w:szCs w:val="32"/>
        </w:rPr>
        <w:t>达到</w:t>
      </w:r>
      <w:r>
        <w:rPr>
          <w:rFonts w:hint="eastAsia"/>
          <w:szCs w:val="32"/>
        </w:rPr>
        <w:t>100%</w:t>
      </w:r>
      <w:r>
        <w:rPr>
          <w:rFonts w:hint="eastAsia" w:ascii="方正仿宋_GBK" w:hAnsi="方正仿宋_GBK" w:cs="方正仿宋_GBK"/>
          <w:szCs w:val="32"/>
        </w:rPr>
        <w:t>。</w:t>
      </w:r>
    </w:p>
    <w:p>
      <w:pPr>
        <w:spacing w:line="560" w:lineRule="exact"/>
        <w:ind w:firstLine="640" w:firstLineChars="200"/>
        <w:rPr>
          <w:rFonts w:ascii="方正黑体_GBK" w:hAnsi="方正仿宋_GBK" w:eastAsia="方正黑体_GBK" w:cs="方正仿宋_GBK"/>
          <w:szCs w:val="32"/>
        </w:rPr>
      </w:pPr>
      <w:r>
        <w:rPr>
          <w:rFonts w:hint="eastAsia" w:ascii="方正黑体_GBK" w:hAnsi="方正仿宋_GBK" w:eastAsia="方正黑体_GBK" w:cs="方正仿宋_GBK"/>
          <w:szCs w:val="32"/>
        </w:rPr>
        <w:t>三、工作分工</w:t>
      </w:r>
    </w:p>
    <w:p>
      <w:pPr>
        <w:spacing w:line="600" w:lineRule="exact"/>
        <w:ind w:firstLine="640" w:firstLineChars="200"/>
        <w:rPr>
          <w:rFonts w:ascii="方正仿宋_GBK" w:hAnsi="方正仿宋_GBK" w:cs="方正仿宋_GBK"/>
          <w:szCs w:val="32"/>
        </w:rPr>
      </w:pPr>
      <w:r>
        <w:rPr>
          <w:rFonts w:hint="eastAsia" w:ascii="方正楷体_GBK" w:hAnsi="方正仿宋_GBK" w:eastAsia="方正楷体_GBK" w:cs="方正仿宋_GBK"/>
          <w:szCs w:val="32"/>
        </w:rPr>
        <w:t>（一）区城市管理局：</w:t>
      </w:r>
      <w:r>
        <w:rPr>
          <w:rFonts w:hint="eastAsia" w:ascii="方正仿宋_GBK" w:hAnsi="方正仿宋_GBK" w:cs="方正仿宋_GBK"/>
          <w:szCs w:val="32"/>
        </w:rPr>
        <w:t>牵头组织实施本方案，做好新型智能渣土车推广使用组织协调和宣传工作；鼓励建筑垃圾运输企业使用新型智能渣土车；为使用新型智能渣土车的申请单位开通绿色审批通道办理建筑垃圾处置运输核准；协调渣土消纳单位针对新型智能渣土车在渣土处置费用方面给予一定的价格优惠；开展渣土车监管执法工作，依法查处渣土车私拉乱倒、未密闭运输等违法行为。</w:t>
      </w:r>
    </w:p>
    <w:p>
      <w:pPr>
        <w:spacing w:line="560" w:lineRule="exact"/>
        <w:ind w:firstLine="640" w:firstLineChars="200"/>
      </w:pPr>
      <w:r>
        <w:rPr>
          <w:rFonts w:hint="eastAsia" w:ascii="方正楷体_GBK" w:hAnsi="方正楷体_GBK" w:eastAsia="方正楷体_GBK" w:cs="方正楷体_GBK"/>
          <w:szCs w:val="32"/>
        </w:rPr>
        <w:t>（二）区住房和城乡建设委员会</w:t>
      </w:r>
      <w:r>
        <w:rPr>
          <w:rFonts w:hint="eastAsia" w:ascii="方正楷体_GBK" w:hAnsi="方正仿宋_GBK" w:eastAsia="方正楷体_GBK" w:cs="方正仿宋_GBK"/>
          <w:szCs w:val="32"/>
        </w:rPr>
        <w:t>：</w:t>
      </w:r>
      <w:r>
        <w:t>深入</w:t>
      </w:r>
      <w:r>
        <w:rPr>
          <w:rFonts w:hint="eastAsia"/>
        </w:rPr>
        <w:t>施工现场对渣车开展</w:t>
      </w:r>
      <w:r>
        <w:t>运输源头</w:t>
      </w:r>
      <w:r>
        <w:rPr>
          <w:rFonts w:hint="eastAsia"/>
        </w:rPr>
        <w:t>管控，</w:t>
      </w:r>
      <w:r>
        <w:t>督促施工单位规范装载和</w:t>
      </w:r>
      <w:r>
        <w:rPr>
          <w:rFonts w:hint="eastAsia"/>
        </w:rPr>
        <w:t>推广</w:t>
      </w:r>
      <w:r>
        <w:t>使用新型</w:t>
      </w:r>
      <w:r>
        <w:rPr>
          <w:rFonts w:hint="eastAsia"/>
        </w:rPr>
        <w:t>智能建筑</w:t>
      </w:r>
      <w:r>
        <w:t>渣</w:t>
      </w:r>
      <w:r>
        <w:rPr>
          <w:rFonts w:hint="eastAsia"/>
        </w:rPr>
        <w:t>土</w:t>
      </w:r>
      <w:r>
        <w:t>车</w:t>
      </w:r>
      <w:r>
        <w:rPr>
          <w:rFonts w:hint="eastAsia"/>
        </w:rPr>
        <w:t>，遏制非</w:t>
      </w:r>
      <w:r>
        <w:t>密闭运输和脏车带泥上路</w:t>
      </w:r>
      <w:r>
        <w:rPr>
          <w:rFonts w:hint="eastAsia"/>
        </w:rPr>
        <w:t>等现象；对施工单位大力推广宣传新型智能建筑渣土车，助力政府投资建设项目率先推广使用新型智能建筑渣土车。</w:t>
      </w:r>
    </w:p>
    <w:p>
      <w:pPr>
        <w:spacing w:line="560" w:lineRule="exact"/>
        <w:ind w:firstLine="640" w:firstLineChars="200"/>
        <w:rPr>
          <w:rFonts w:ascii="方正仿宋_GBK" w:hAnsi="方正仿宋_GBK" w:cs="方正仿宋_GBK"/>
          <w:szCs w:val="32"/>
        </w:rPr>
      </w:pPr>
      <w:r>
        <w:rPr>
          <w:rFonts w:hint="eastAsia" w:ascii="方正楷体_GBK" w:hAnsi="方正楷体_GBK" w:eastAsia="方正楷体_GBK" w:cs="方正楷体_GBK"/>
          <w:szCs w:val="32"/>
        </w:rPr>
        <w:t>（三）</w:t>
      </w:r>
      <w:r>
        <w:rPr>
          <w:rFonts w:hint="eastAsia" w:ascii="方正楷体_GBK" w:hAnsi="方正仿宋_GBK" w:eastAsia="方正楷体_GBK" w:cs="方正仿宋_GBK"/>
          <w:szCs w:val="32"/>
        </w:rPr>
        <w:t>区公安局：</w:t>
      </w:r>
      <w:r>
        <w:rPr>
          <w:rFonts w:hint="eastAsia"/>
        </w:rPr>
        <w:t>开通</w:t>
      </w:r>
      <w:r>
        <w:t>新型</w:t>
      </w:r>
      <w:r>
        <w:rPr>
          <w:rFonts w:hint="eastAsia"/>
        </w:rPr>
        <w:t>智能建筑</w:t>
      </w:r>
      <w:r>
        <w:t>渣</w:t>
      </w:r>
      <w:r>
        <w:rPr>
          <w:rFonts w:hint="eastAsia"/>
        </w:rPr>
        <w:t>土</w:t>
      </w:r>
      <w:r>
        <w:t>车车辆入户、手续登记</w:t>
      </w:r>
      <w:r>
        <w:rPr>
          <w:rFonts w:hint="eastAsia"/>
        </w:rPr>
        <w:t>、</w:t>
      </w:r>
      <w:r>
        <w:rPr>
          <w:rFonts w:hint="eastAsia" w:ascii="方正仿宋_GBK" w:hAnsi="方正仿宋_GBK" w:cs="方正仿宋_GBK"/>
          <w:szCs w:val="32"/>
        </w:rPr>
        <w:t>车辆道路运输许可证核准审批</w:t>
      </w:r>
      <w:r>
        <w:t>等</w:t>
      </w:r>
      <w:r>
        <w:rPr>
          <w:rFonts w:hint="eastAsia"/>
        </w:rPr>
        <w:t>绿色通道</w:t>
      </w:r>
      <w:r>
        <w:t>，简化</w:t>
      </w:r>
      <w:r>
        <w:rPr>
          <w:rFonts w:hint="eastAsia"/>
        </w:rPr>
        <w:t>新型智能建筑渣土车上路运输前各项注册、登记、审批、核准的</w:t>
      </w:r>
      <w:r>
        <w:t>流程</w:t>
      </w:r>
      <w:r>
        <w:rPr>
          <w:rFonts w:hint="eastAsia"/>
        </w:rPr>
        <w:t>。</w:t>
      </w:r>
      <w:r>
        <w:t>严厉查处渣土车超速行驶、超重装载、密闭不严、私</w:t>
      </w:r>
      <w:r>
        <w:rPr>
          <w:rFonts w:hint="eastAsia"/>
        </w:rPr>
        <w:t>拉</w:t>
      </w:r>
      <w:r>
        <w:t>乱倒等违法行为</w:t>
      </w:r>
      <w:r>
        <w:rPr>
          <w:rFonts w:hint="eastAsia"/>
        </w:rPr>
        <w:t>。</w:t>
      </w:r>
      <w:r>
        <w:rPr>
          <w:rFonts w:hint="eastAsia"/>
          <w:szCs w:val="32"/>
        </w:rPr>
        <w:t>进一步开放新型渣车通行限制，拓展其通行范围及通行时段。</w:t>
      </w:r>
    </w:p>
    <w:p>
      <w:pPr>
        <w:spacing w:line="560" w:lineRule="exact"/>
        <w:ind w:firstLine="640" w:firstLineChars="200"/>
        <w:rPr>
          <w:szCs w:val="32"/>
        </w:rPr>
      </w:pPr>
      <w:r>
        <w:rPr>
          <w:rFonts w:hint="eastAsia" w:ascii="方正楷体_GBK" w:hAnsi="方正仿宋_GBK" w:eastAsia="方正楷体_GBK" w:cs="方正仿宋_GBK"/>
          <w:szCs w:val="32"/>
        </w:rPr>
        <w:t>（四）区交通局：</w:t>
      </w:r>
      <w:r>
        <w:rPr>
          <w:rFonts w:hint="eastAsia" w:ascii="方正仿宋_GBK" w:hAnsi="方正仿宋_GBK" w:cs="方正仿宋_GBK"/>
          <w:szCs w:val="32"/>
        </w:rPr>
        <w:t>为全区新型智能建筑渣土车的车辆道路运输许可证核准审批开通绿色通道；开展交通执法工作，严查渣土车扬撒、非法改装等违法违规行为；</w:t>
      </w:r>
      <w:r>
        <w:rPr>
          <w:rFonts w:hint="eastAsia"/>
          <w:szCs w:val="32"/>
        </w:rPr>
        <w:t>做好交通</w:t>
      </w:r>
      <w:r>
        <w:rPr>
          <w:szCs w:val="32"/>
        </w:rPr>
        <w:t>工程项目新型智能建筑渣土车</w:t>
      </w:r>
      <w:r>
        <w:rPr>
          <w:rFonts w:hint="eastAsia"/>
          <w:szCs w:val="32"/>
        </w:rPr>
        <w:t>宣传</w:t>
      </w:r>
      <w:r>
        <w:rPr>
          <w:szCs w:val="32"/>
        </w:rPr>
        <w:t>推广工作</w:t>
      </w:r>
      <w:r>
        <w:rPr>
          <w:rFonts w:hint="eastAsia"/>
          <w:szCs w:val="32"/>
        </w:rPr>
        <w:t>。</w:t>
      </w:r>
    </w:p>
    <w:p>
      <w:pPr>
        <w:spacing w:line="560" w:lineRule="exact"/>
        <w:ind w:firstLine="640" w:firstLineChars="200"/>
        <w:rPr>
          <w:rFonts w:ascii="方正仿宋_GBK" w:hAnsi="方正仿宋_GBK" w:cs="方正仿宋_GBK"/>
          <w:szCs w:val="32"/>
        </w:rPr>
      </w:pPr>
      <w:r>
        <w:rPr>
          <w:rFonts w:hint="eastAsia" w:ascii="方正楷体_GBK" w:hAnsi="方正仿宋_GBK" w:eastAsia="方正楷体_GBK" w:cs="方正仿宋_GBK"/>
          <w:szCs w:val="32"/>
        </w:rPr>
        <w:t>（五）</w:t>
      </w:r>
      <w:r>
        <w:rPr>
          <w:rFonts w:hint="eastAsia" w:ascii="方正楷体_GBK" w:hAnsi="方正楷体_GBK" w:eastAsia="方正楷体_GBK" w:cs="方正楷体_GBK"/>
          <w:szCs w:val="32"/>
        </w:rPr>
        <w:t>区经济和信息化委员会</w:t>
      </w:r>
      <w:r>
        <w:rPr>
          <w:rFonts w:hint="eastAsia" w:ascii="方正仿宋_GBK" w:hAnsi="方正仿宋_GBK" w:cs="方正仿宋_GBK"/>
          <w:szCs w:val="32"/>
        </w:rPr>
        <w:t>：按照市经济和信息</w:t>
      </w:r>
      <w:r>
        <w:rPr>
          <w:rFonts w:hint="eastAsia" w:ascii="方正仿宋_GBK" w:hAnsi="方正仿宋_GBK" w:cs="方正仿宋_GBK"/>
          <w:szCs w:val="32"/>
          <w:lang w:eastAsia="zh-CN"/>
        </w:rPr>
        <w:t>化</w:t>
      </w:r>
      <w:r>
        <w:rPr>
          <w:rFonts w:hint="eastAsia" w:ascii="方正仿宋_GBK" w:hAnsi="方正仿宋_GBK" w:cs="方正仿宋_GBK"/>
          <w:szCs w:val="32"/>
        </w:rPr>
        <w:t>委员会相关要求，协调相关企业支持新型智能建筑渣土车推广使用。</w:t>
      </w:r>
      <w:bookmarkStart w:id="0" w:name="_GoBack"/>
      <w:bookmarkEnd w:id="0"/>
    </w:p>
    <w:p>
      <w:pPr>
        <w:spacing w:line="560" w:lineRule="exact"/>
        <w:ind w:firstLine="640" w:firstLineChars="200"/>
        <w:rPr>
          <w:color w:val="000000"/>
          <w:kern w:val="0"/>
          <w:szCs w:val="32"/>
          <w:lang w:val="en"/>
        </w:rPr>
      </w:pPr>
      <w:r>
        <w:rPr>
          <w:rFonts w:hint="eastAsia" w:ascii="方正楷体_GBK" w:hAnsi="方正楷体_GBK" w:eastAsia="方正楷体_GBK" w:cs="方正楷体_GBK"/>
          <w:color w:val="000000"/>
          <w:kern w:val="0"/>
          <w:szCs w:val="32"/>
          <w:lang w:val="en"/>
        </w:rPr>
        <w:t>（六）区城投集团、区园业集团等</w:t>
      </w:r>
      <w:r>
        <w:rPr>
          <w:rFonts w:hint="eastAsia" w:ascii="方正楷体_GBK" w:hAnsi="方正楷体_GBK" w:eastAsia="方正楷体_GBK" w:cs="方正楷体_GBK"/>
        </w:rPr>
        <w:t>国有平台公司</w:t>
      </w:r>
      <w:r>
        <w:rPr>
          <w:rFonts w:hint="eastAsia" w:ascii="方正楷体_GBK" w:hAnsi="方正楷体_GBK" w:eastAsia="方正楷体_GBK" w:cs="方正楷体_GBK"/>
          <w:color w:val="000000"/>
          <w:kern w:val="0"/>
          <w:szCs w:val="32"/>
          <w:lang w:val="en"/>
        </w:rPr>
        <w:t>：</w:t>
      </w:r>
      <w:r>
        <w:rPr>
          <w:rFonts w:hint="eastAsia" w:ascii="方正仿宋_GBK" w:hAnsi="方正仿宋_GBK" w:cs="方正仿宋_GBK"/>
        </w:rPr>
        <w:t>国有平台公司</w:t>
      </w:r>
      <w:r>
        <w:rPr>
          <w:rFonts w:hint="eastAsia"/>
          <w:szCs w:val="32"/>
        </w:rPr>
        <w:t>自建</w:t>
      </w:r>
      <w:r>
        <w:rPr>
          <w:szCs w:val="32"/>
        </w:rPr>
        <w:t>渣场应结合自身实际情况，综合考虑对使用新型智能渣土车的企业在渣土处置费用方面给予一定时期的价格优惠，开通新型智能渣土车绿色通行通道</w:t>
      </w:r>
      <w:r>
        <w:rPr>
          <w:rFonts w:hint="eastAsia" w:ascii="方正仿宋_GBK" w:hAnsi="方正仿宋_GBK" w:cs="方正仿宋_GBK"/>
          <w:szCs w:val="32"/>
        </w:rPr>
        <w:t>。同时，国有平台公司建设项目应优先推广使用新型智能建筑渣土车。</w:t>
      </w:r>
    </w:p>
    <w:p>
      <w:pPr>
        <w:spacing w:line="560" w:lineRule="exact"/>
        <w:ind w:firstLine="640" w:firstLineChars="200"/>
        <w:rPr>
          <w:color w:val="000000"/>
          <w:kern w:val="0"/>
          <w:szCs w:val="32"/>
          <w:lang w:val="en"/>
        </w:rPr>
      </w:pPr>
      <w:r>
        <w:rPr>
          <w:rFonts w:hint="eastAsia" w:ascii="方正楷体_GBK" w:hAnsi="方正楷体_GBK" w:eastAsia="方正楷体_GBK" w:cs="方正楷体_GBK"/>
          <w:color w:val="000000"/>
          <w:kern w:val="0"/>
          <w:szCs w:val="32"/>
          <w:lang w:val="en"/>
        </w:rPr>
        <w:t>（七）</w:t>
      </w:r>
      <w:r>
        <w:rPr>
          <w:rFonts w:eastAsia="方正楷体_GBK"/>
          <w:color w:val="000000"/>
          <w:kern w:val="0"/>
          <w:szCs w:val="32"/>
          <w:lang w:val="en"/>
        </w:rPr>
        <w:t>其他行业主管部门：</w:t>
      </w:r>
      <w:r>
        <w:rPr>
          <w:color w:val="000000"/>
          <w:kern w:val="0"/>
          <w:szCs w:val="32"/>
          <w:lang w:val="en"/>
        </w:rPr>
        <w:t>按照职责分工，协同配合做好本行业建设项目</w:t>
      </w:r>
      <w:r>
        <w:rPr>
          <w:szCs w:val="32"/>
        </w:rPr>
        <w:t>新型智能建筑渣土车</w:t>
      </w:r>
      <w:r>
        <w:rPr>
          <w:rFonts w:hint="eastAsia"/>
          <w:szCs w:val="32"/>
        </w:rPr>
        <w:t>宣传</w:t>
      </w:r>
      <w:r>
        <w:rPr>
          <w:szCs w:val="32"/>
        </w:rPr>
        <w:t>推广工作</w:t>
      </w:r>
      <w:r>
        <w:rPr>
          <w:color w:val="000000"/>
          <w:kern w:val="0"/>
          <w:szCs w:val="32"/>
          <w:lang w:val="en"/>
        </w:rPr>
        <w:t>。</w:t>
      </w:r>
    </w:p>
    <w:p>
      <w:pPr>
        <w:spacing w:line="560" w:lineRule="exact"/>
        <w:ind w:firstLine="640" w:firstLineChars="200"/>
        <w:rPr>
          <w:rFonts w:ascii="方正黑体_GBK" w:hAnsi="方正楷体_GBK" w:eastAsia="方正黑体_GBK" w:cs="方正楷体_GBK"/>
          <w:szCs w:val="32"/>
        </w:rPr>
      </w:pPr>
      <w:r>
        <w:rPr>
          <w:rFonts w:hint="eastAsia" w:ascii="方正黑体_GBK" w:hAnsi="方正楷体_GBK" w:eastAsia="方正黑体_GBK" w:cs="方正楷体_GBK"/>
          <w:szCs w:val="32"/>
        </w:rPr>
        <w:t>四、工作要求</w:t>
      </w:r>
    </w:p>
    <w:p>
      <w:pPr>
        <w:suppressAutoHyphens/>
        <w:autoSpaceDE w:val="0"/>
        <w:spacing w:line="560" w:lineRule="exact"/>
        <w:ind w:firstLine="640" w:firstLineChars="200"/>
        <w:rPr>
          <w:rFonts w:ascii="方正仿宋_GBK"/>
        </w:rPr>
      </w:pPr>
      <w:r>
        <w:rPr>
          <w:rFonts w:hint="eastAsia" w:ascii="方正楷体_GBK" w:eastAsia="方正楷体_GBK"/>
        </w:rPr>
        <w:t>（一）提高思想认识，明确任务分工</w:t>
      </w:r>
      <w:r>
        <w:rPr>
          <w:rFonts w:eastAsia="方正楷体_GBK"/>
        </w:rPr>
        <w:t>。</w:t>
      </w:r>
      <w:r>
        <w:rPr>
          <w:rFonts w:hint="eastAsia" w:ascii="方正仿宋_GBK" w:hAnsi="方正仿宋_GBK" w:cs="方正仿宋_GBK"/>
        </w:rPr>
        <w:t>推广使用新型智能渣土车是市级重点工作任务之一，各单位应高度重视，按照职责分工，明确工作目标，积极推动各项工作，树立</w:t>
      </w:r>
      <w:r>
        <w:rPr>
          <w:rFonts w:hint="eastAsia" w:ascii="方正仿宋_GBK"/>
        </w:rPr>
        <w:t>“一盘棋”思想，形成工作合力，确保新型智能渣土车推广使用工作有序推进。</w:t>
      </w:r>
    </w:p>
    <w:p>
      <w:pPr>
        <w:spacing w:line="600" w:lineRule="exact"/>
        <w:ind w:firstLine="640" w:firstLineChars="200"/>
        <w:rPr>
          <w:rFonts w:ascii="方正仿宋_GBK" w:hAnsi="方正仿宋_GBK" w:cs="方正仿宋_GBK"/>
          <w:szCs w:val="32"/>
        </w:rPr>
      </w:pPr>
      <w:r>
        <w:rPr>
          <w:rFonts w:hint="eastAsia" w:ascii="方正楷体_GBK" w:eastAsia="方正楷体_GBK"/>
        </w:rPr>
        <w:t>（二）坚持以人为本，规范文明执法。</w:t>
      </w:r>
      <w:r>
        <w:rPr>
          <w:rFonts w:hint="eastAsia" w:ascii="方正仿宋_GBK" w:hAnsi="方正仿宋_GBK" w:cs="方正仿宋_GBK"/>
          <w:szCs w:val="32"/>
        </w:rPr>
        <w:t>新型智能渣土车推广使用工作应遵循以人为本原则，充分考虑施工企业、渣土运输企业、原有渣土车车主等各方权益。在工作过程中，既要坚持严格、公正，又要做到理性、平和，争取群众理解、支持和配合，坚决做到规范执法、文明执法。</w:t>
      </w:r>
    </w:p>
    <w:p>
      <w:pPr>
        <w:pStyle w:val="7"/>
        <w:spacing w:line="600" w:lineRule="exact"/>
        <w:ind w:firstLine="640" w:firstLineChars="200"/>
        <w:rPr>
          <w:rFonts w:ascii="方正仿宋_GBK" w:hAnsi="方正仿宋_GBK" w:cs="方正仿宋_GBK"/>
          <w:color w:val="000000"/>
          <w:szCs w:val="32"/>
        </w:rPr>
      </w:pPr>
      <w:r>
        <w:rPr>
          <w:rFonts w:hint="eastAsia" w:ascii="方正楷体_GBK" w:eastAsia="方正楷体_GBK"/>
        </w:rPr>
        <w:t>（三）</w:t>
      </w:r>
      <w:r>
        <w:rPr>
          <w:rFonts w:hint="eastAsia" w:ascii="方正楷体_GBK" w:hAnsi="方正楷体_GBK" w:eastAsia="方正楷体_GBK" w:cs="方正楷体_GBK"/>
          <w:szCs w:val="32"/>
        </w:rPr>
        <w:t>强化主动服务，平稳有序推进。</w:t>
      </w:r>
      <w:r>
        <w:rPr>
          <w:rFonts w:hint="eastAsia" w:ascii="方正仿宋_GBK" w:hAnsi="方正仿宋_GBK" w:cs="方正仿宋_GBK"/>
          <w:szCs w:val="32"/>
        </w:rPr>
        <w:t>相关部门、单位要增强服务意识，为新型智能建筑渣土运输车推广使用提供高效、便捷的服务保障，加强社会稳定风险评估和矛盾化解，做好维稳、应急处置工作，确保推广工作稳步推进。</w:t>
      </w:r>
    </w:p>
    <w:p>
      <w:pPr>
        <w:spacing w:line="600" w:lineRule="exact"/>
        <w:ind w:firstLine="640" w:firstLineChars="200"/>
        <w:rPr>
          <w:rFonts w:ascii="方正仿宋_GBK"/>
        </w:rPr>
      </w:pPr>
    </w:p>
    <w:sectPr>
      <w:footerReference r:id="rId3" w:type="default"/>
      <w:footerReference r:id="rId4" w:type="even"/>
      <w:pgSz w:w="11906" w:h="16838"/>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Style w:val="11"/>
        <w:rFonts w:hint="eastAsia" w:ascii="宋体" w:hAnsi="宋体" w:eastAsia="宋体"/>
        <w:sz w:val="28"/>
        <w:szCs w:val="28"/>
      </w:rPr>
      <w:t>—</w:t>
    </w:r>
    <w:r>
      <w:rPr>
        <w:rFonts w:ascii="宋体" w:hAnsi="宋体" w:eastAsia="宋体"/>
        <w:sz w:val="28"/>
        <w:szCs w:val="28"/>
      </w:rPr>
      <w:t xml:space="preserve"> </w:t>
    </w:r>
    <w:sdt>
      <w:sdtPr>
        <w:rPr>
          <w:rFonts w:ascii="宋体" w:hAnsi="宋体" w:eastAsia="宋体"/>
          <w:sz w:val="28"/>
          <w:szCs w:val="28"/>
        </w:rPr>
        <w:id w:val="-1"/>
      </w:sdtPr>
      <w:sdtEndPr>
        <w:rPr>
          <w:rFonts w:ascii="Times New Roman" w:hAnsi="Times New Roman" w:eastAsia="方正仿宋_GBK"/>
          <w:sz w:val="18"/>
          <w:szCs w:val="1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ascii="宋体" w:hAnsi="宋体" w:eastAsia="宋体"/>
            <w:sz w:val="28"/>
            <w:szCs w:val="28"/>
          </w:rPr>
          <w:t xml:space="preserve"> </w:t>
        </w:r>
        <w:r>
          <w:rPr>
            <w:rStyle w:val="11"/>
            <w:rFonts w:hint="eastAsia" w:ascii="宋体" w:hAnsi="宋体" w:eastAsia="宋体"/>
            <w:sz w:val="28"/>
            <w:szCs w:val="28"/>
          </w:rPr>
          <w:t>—</w:t>
        </w:r>
      </w:sdtContent>
    </w:sdt>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eastAsia="宋体"/>
        <w:sz w:val="28"/>
        <w:szCs w:val="28"/>
      </w:rPr>
    </w:pPr>
    <w:r>
      <w:rPr>
        <w:rStyle w:val="11"/>
        <w:rFonts w:hint="eastAsia" w:ascii="宋体" w:hAnsi="宋体" w:eastAsia="宋体"/>
        <w:sz w:val="28"/>
        <w:szCs w:val="28"/>
      </w:rPr>
      <w:t>—</w:t>
    </w:r>
    <w:r>
      <w:rPr>
        <w:rFonts w:ascii="宋体" w:hAnsi="宋体" w:eastAsia="宋体"/>
        <w:sz w:val="28"/>
        <w:szCs w:val="28"/>
      </w:rPr>
      <w:t xml:space="preserve"> </w:t>
    </w:r>
    <w:sdt>
      <w:sdtPr>
        <w:rPr>
          <w:rFonts w:ascii="宋体" w:hAnsi="宋体" w:eastAsia="宋体"/>
          <w:sz w:val="28"/>
          <w:szCs w:val="28"/>
        </w:rPr>
        <w:id w:val="990910902"/>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 xml:space="preserve"> </w:t>
        </w:r>
        <w:r>
          <w:rPr>
            <w:rStyle w:val="11"/>
            <w:rFonts w:hint="eastAsia" w:ascii="宋体" w:hAnsi="宋体" w:eastAsia="宋体"/>
            <w:sz w:val="28"/>
            <w:szCs w:val="28"/>
          </w:rPr>
          <w:t>—</w:t>
        </w:r>
      </w:sdtContent>
    </w:sdt>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xOTlmMjQxMTVhZWMzNjQ1NDcxMTIzYmQwZGZlYzcifQ=="/>
  </w:docVars>
  <w:rsids>
    <w:rsidRoot w:val="00110A3E"/>
    <w:rsid w:val="00014530"/>
    <w:rsid w:val="00033FDE"/>
    <w:rsid w:val="00077645"/>
    <w:rsid w:val="000830F4"/>
    <w:rsid w:val="00092DAE"/>
    <w:rsid w:val="000A3541"/>
    <w:rsid w:val="000A7973"/>
    <w:rsid w:val="000F1E03"/>
    <w:rsid w:val="00110A3E"/>
    <w:rsid w:val="001369E1"/>
    <w:rsid w:val="001A7E2A"/>
    <w:rsid w:val="001B130D"/>
    <w:rsid w:val="001E0CA6"/>
    <w:rsid w:val="0020370A"/>
    <w:rsid w:val="00245088"/>
    <w:rsid w:val="002A2DFA"/>
    <w:rsid w:val="002D08ED"/>
    <w:rsid w:val="00330E34"/>
    <w:rsid w:val="00371A8F"/>
    <w:rsid w:val="003732A0"/>
    <w:rsid w:val="0041575E"/>
    <w:rsid w:val="00446B39"/>
    <w:rsid w:val="004770E2"/>
    <w:rsid w:val="004A5D63"/>
    <w:rsid w:val="004D2C70"/>
    <w:rsid w:val="00511310"/>
    <w:rsid w:val="005357B3"/>
    <w:rsid w:val="005A2B8B"/>
    <w:rsid w:val="005A7A24"/>
    <w:rsid w:val="005B6444"/>
    <w:rsid w:val="005C00A3"/>
    <w:rsid w:val="005C6236"/>
    <w:rsid w:val="005E6D45"/>
    <w:rsid w:val="006323FA"/>
    <w:rsid w:val="006339B3"/>
    <w:rsid w:val="0065193A"/>
    <w:rsid w:val="0065426A"/>
    <w:rsid w:val="006C2E3D"/>
    <w:rsid w:val="006D234C"/>
    <w:rsid w:val="00720429"/>
    <w:rsid w:val="00732E06"/>
    <w:rsid w:val="00736A29"/>
    <w:rsid w:val="00750724"/>
    <w:rsid w:val="007D53C8"/>
    <w:rsid w:val="008032B8"/>
    <w:rsid w:val="00807EF2"/>
    <w:rsid w:val="00812268"/>
    <w:rsid w:val="008569DF"/>
    <w:rsid w:val="00861712"/>
    <w:rsid w:val="00864CF2"/>
    <w:rsid w:val="00882F7A"/>
    <w:rsid w:val="00892F70"/>
    <w:rsid w:val="008A4B96"/>
    <w:rsid w:val="00956B2C"/>
    <w:rsid w:val="009947AA"/>
    <w:rsid w:val="00997C04"/>
    <w:rsid w:val="009D5C57"/>
    <w:rsid w:val="009E60FA"/>
    <w:rsid w:val="00A239FC"/>
    <w:rsid w:val="00A33B5C"/>
    <w:rsid w:val="00A365F3"/>
    <w:rsid w:val="00A65F7F"/>
    <w:rsid w:val="00A70F0F"/>
    <w:rsid w:val="00A92C42"/>
    <w:rsid w:val="00AB4E78"/>
    <w:rsid w:val="00AF1C93"/>
    <w:rsid w:val="00AF4CB0"/>
    <w:rsid w:val="00B03BBA"/>
    <w:rsid w:val="00B34A89"/>
    <w:rsid w:val="00B34EB4"/>
    <w:rsid w:val="00B7432F"/>
    <w:rsid w:val="00BB76D4"/>
    <w:rsid w:val="00BC324E"/>
    <w:rsid w:val="00BF62EA"/>
    <w:rsid w:val="00C72ABA"/>
    <w:rsid w:val="00D25747"/>
    <w:rsid w:val="00D60A76"/>
    <w:rsid w:val="00D9416B"/>
    <w:rsid w:val="00DE0DF8"/>
    <w:rsid w:val="00DF7B4E"/>
    <w:rsid w:val="00E16EA1"/>
    <w:rsid w:val="00E759F8"/>
    <w:rsid w:val="00EB08F3"/>
    <w:rsid w:val="00EE56FD"/>
    <w:rsid w:val="00EE7B9C"/>
    <w:rsid w:val="00EF3EE8"/>
    <w:rsid w:val="00EF445D"/>
    <w:rsid w:val="00F05859"/>
    <w:rsid w:val="00F26B55"/>
    <w:rsid w:val="00F83E8B"/>
    <w:rsid w:val="00FB3B35"/>
    <w:rsid w:val="16021981"/>
    <w:rsid w:val="300836E1"/>
    <w:rsid w:val="46F07418"/>
    <w:rsid w:val="4C531FB7"/>
    <w:rsid w:val="568F4713"/>
    <w:rsid w:val="5E1F1BDB"/>
    <w:rsid w:val="5EA633A3"/>
    <w:rsid w:val="6A6A4EF6"/>
    <w:rsid w:val="6F9F68FF"/>
    <w:rsid w:val="7C905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10">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wordWrap w:val="0"/>
      <w:ind w:left="1193"/>
    </w:pPr>
    <w:rPr>
      <w:rFonts w:ascii="宋体" w:hAnsi="宋体"/>
      <w:szCs w:val="22"/>
    </w:rPr>
  </w:style>
  <w:style w:type="paragraph" w:styleId="3">
    <w:name w:val="annotation text"/>
    <w:basedOn w:val="1"/>
    <w:autoRedefine/>
    <w:semiHidden/>
    <w:unhideWhenUsed/>
    <w:qFormat/>
    <w:uiPriority w:val="99"/>
    <w:pPr>
      <w:jc w:val="left"/>
    </w:pPr>
  </w:style>
  <w:style w:type="paragraph" w:styleId="4">
    <w:name w:val="Balloon Text"/>
    <w:basedOn w:val="1"/>
    <w:link w:val="17"/>
    <w:autoRedefine/>
    <w:semiHidden/>
    <w:unhideWhenUsed/>
    <w:qFormat/>
    <w:uiPriority w:val="99"/>
    <w:rPr>
      <w:sz w:val="18"/>
      <w:szCs w:val="18"/>
    </w:rPr>
  </w:style>
  <w:style w:type="paragraph" w:styleId="5">
    <w:name w:val="footer"/>
    <w:basedOn w:val="1"/>
    <w:link w:val="16"/>
    <w:autoRedefine/>
    <w:unhideWhenUsed/>
    <w:qFormat/>
    <w:uiPriority w:val="99"/>
    <w:pPr>
      <w:tabs>
        <w:tab w:val="center" w:pos="4153"/>
        <w:tab w:val="right" w:pos="8306"/>
      </w:tabs>
      <w:snapToGrid w:val="0"/>
      <w:jc w:val="left"/>
    </w:pPr>
    <w:rPr>
      <w:sz w:val="18"/>
      <w:szCs w:val="18"/>
    </w:rPr>
  </w:style>
  <w:style w:type="paragraph" w:styleId="6">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autoRedefine/>
    <w:unhideWhenUsed/>
    <w:qFormat/>
    <w:uiPriority w:val="99"/>
    <w:pPr>
      <w:spacing w:after="120" w:line="480" w:lineRule="auto"/>
    </w:pPr>
  </w:style>
  <w:style w:type="paragraph" w:styleId="8">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1">
    <w:name w:val="page number"/>
    <w:basedOn w:val="10"/>
    <w:autoRedefine/>
    <w:qFormat/>
    <w:uiPriority w:val="0"/>
  </w:style>
  <w:style w:type="character" w:styleId="12">
    <w:name w:val="annotation reference"/>
    <w:basedOn w:val="10"/>
    <w:autoRedefine/>
    <w:semiHidden/>
    <w:unhideWhenUsed/>
    <w:qFormat/>
    <w:uiPriority w:val="99"/>
    <w:rPr>
      <w:sz w:val="21"/>
      <w:szCs w:val="21"/>
    </w:rPr>
  </w:style>
  <w:style w:type="paragraph" w:customStyle="1" w:styleId="13">
    <w:name w:val="正文（缩进）"/>
    <w:basedOn w:val="1"/>
    <w:next w:val="1"/>
    <w:autoRedefine/>
    <w:qFormat/>
    <w:uiPriority w:val="0"/>
    <w:pPr>
      <w:spacing w:line="594" w:lineRule="exact"/>
      <w:ind w:firstLine="482"/>
    </w:pPr>
  </w:style>
  <w:style w:type="paragraph" w:styleId="14">
    <w:name w:val="List Paragraph"/>
    <w:basedOn w:val="1"/>
    <w:autoRedefine/>
    <w:qFormat/>
    <w:uiPriority w:val="34"/>
    <w:pPr>
      <w:ind w:firstLine="420" w:firstLineChars="200"/>
    </w:pPr>
  </w:style>
  <w:style w:type="character" w:customStyle="1" w:styleId="15">
    <w:name w:val="页眉 字符"/>
    <w:basedOn w:val="10"/>
    <w:link w:val="6"/>
    <w:autoRedefine/>
    <w:qFormat/>
    <w:uiPriority w:val="99"/>
    <w:rPr>
      <w:rFonts w:ascii="Times New Roman" w:hAnsi="Times New Roman" w:eastAsia="方正仿宋_GBK" w:cs="Times New Roman"/>
      <w:sz w:val="18"/>
      <w:szCs w:val="18"/>
    </w:rPr>
  </w:style>
  <w:style w:type="character" w:customStyle="1" w:styleId="16">
    <w:name w:val="页脚 字符"/>
    <w:basedOn w:val="10"/>
    <w:link w:val="5"/>
    <w:autoRedefine/>
    <w:qFormat/>
    <w:uiPriority w:val="99"/>
    <w:rPr>
      <w:rFonts w:ascii="Times New Roman" w:hAnsi="Times New Roman" w:eastAsia="方正仿宋_GBK" w:cs="Times New Roman"/>
      <w:sz w:val="18"/>
      <w:szCs w:val="18"/>
    </w:rPr>
  </w:style>
  <w:style w:type="character" w:customStyle="1" w:styleId="17">
    <w:name w:val="批注框文本 字符"/>
    <w:basedOn w:val="10"/>
    <w:link w:val="4"/>
    <w:autoRedefine/>
    <w:semiHidden/>
    <w:qFormat/>
    <w:uiPriority w:val="99"/>
    <w:rPr>
      <w:rFonts w:ascii="Times New Roman" w:hAnsi="Times New Roman" w:eastAsia="方正仿宋_GBK"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C793B81-615F-490A-B6A1-20307CE8763A}">
  <ds:schemaRefs/>
</ds:datastoreItem>
</file>

<file path=docProps/app.xml><?xml version="1.0" encoding="utf-8"?>
<Properties xmlns="http://schemas.openxmlformats.org/officeDocument/2006/extended-properties" xmlns:vt="http://schemas.openxmlformats.org/officeDocument/2006/docPropsVTypes">
  <Template>Normal</Template>
  <Pages>5</Pages>
  <Words>340</Words>
  <Characters>1942</Characters>
  <Lines>16</Lines>
  <Paragraphs>4</Paragraphs>
  <TotalTime>21</TotalTime>
  <ScaleCrop>false</ScaleCrop>
  <LinksUpToDate>false</LinksUpToDate>
  <CharactersWithSpaces>2278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2024-04-15T02:33:00Z</dcterms:created>
  <dc:creator>Administrator</dc:creator>
  <cp:lastModifiedBy>窦寇年华.谁许谁地老天荒</cp:lastModifiedBy>
  <cp:lastPrinted>2024-02-28T09:05:00Z</cp:lastPrinted>
  <dcterms:modified xsi:type="dcterms:W3CDTF">2024-04-15T06:50:02Z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E21ECE4C11F1428F973E43F6850B72C8_12</vt:lpwstr>
  </property>
</Properties>
</file>