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2820C">
      <w:pPr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重庆市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南川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区耕地地力保护补贴申请指南</w:t>
      </w:r>
    </w:p>
    <w:p w14:paraId="003F9677">
      <w:pPr>
        <w:rPr>
          <w:rFonts w:hint="eastAsia"/>
        </w:rPr>
      </w:pPr>
    </w:p>
    <w:p w14:paraId="575F4397"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根据《中华人民共和国政府信息公开条例》的规定，遵循公正、公平、合法、便民的原则，编制《重庆市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南川</w:t>
      </w:r>
      <w:r>
        <w:rPr>
          <w:rFonts w:hint="eastAsia" w:ascii="微软雅黑" w:hAnsi="微软雅黑" w:eastAsia="微软雅黑" w:cs="微软雅黑"/>
          <w:sz w:val="24"/>
          <w:szCs w:val="24"/>
        </w:rPr>
        <w:t>区耕地地力保护补贴申请指南》（以下简称《指南》）。符合条件需要申请耕地地力保护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补贴</w:t>
      </w:r>
      <w:r>
        <w:rPr>
          <w:rFonts w:hint="eastAsia" w:ascii="微软雅黑" w:hAnsi="微软雅黑" w:eastAsia="微软雅黑" w:cs="微软雅黑"/>
          <w:sz w:val="24"/>
          <w:szCs w:val="24"/>
        </w:rPr>
        <w:t>的公民、法人或组织，请阅读本《指南》。本《指南》根据上级政策及时更新。</w:t>
      </w:r>
    </w:p>
    <w:p w14:paraId="17F073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b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一、补贴对象</w:t>
      </w:r>
    </w:p>
    <w:p w14:paraId="79CE0B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（一）耕地地力保护补贴对象原则上为拥有耕地承包权的种地农民，补贴数额与耕地面积挂钩，直接补贴到户。</w:t>
      </w:r>
    </w:p>
    <w:p w14:paraId="35ADA2A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（二）同一地块，一年只能享受一次耕地地力保护补贴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。</w:t>
      </w:r>
    </w:p>
    <w:p w14:paraId="48C32E6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二、补贴范围</w:t>
      </w:r>
    </w:p>
    <w:p w14:paraId="517503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在我区范围内拥有耕地承包权的种地农民。</w:t>
      </w:r>
      <w:bookmarkStart w:id="0" w:name="_GoBack"/>
      <w:bookmarkEnd w:id="0"/>
    </w:p>
    <w:p w14:paraId="218800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三、补贴标准</w:t>
      </w:r>
    </w:p>
    <w:p w14:paraId="3DDADB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一般农户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耕地地力保护补贴标准根据市级下达的耕地地力保护补贴资金，将上年度结转资金与当年预算资金统筹安排使用，结合各乡镇（街道）上报的耕地地力保护补贴面积总量后测算确定。</w:t>
      </w:r>
    </w:p>
    <w:p w14:paraId="184F78E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四、申请程序及时限</w:t>
      </w:r>
    </w:p>
    <w:p w14:paraId="79E5583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（一）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一般农户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耕地地力保护补贴程序。各乡镇（街道）根据一般农户耕地面积和当年统一的补贴标准，按“自下而上”的程序核定到每个承包耕地农户。各乡镇（街道）人民政府负责补贴资金发放明细的审核，并负责将所有农户的补贴面积、补贴标准和补贴资金等主要信息，分村社进行公示，公示无异议后方可发放。同时，做好公示照片等相关工作资料的保存。</w:t>
      </w:r>
    </w:p>
    <w:p w14:paraId="69DFC09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（二）时限：每年6月30日前通过“一卡通”将补贴资金陆续兑现到农户手中。</w:t>
      </w:r>
    </w:p>
    <w:p w14:paraId="4E12EB5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right="0" w:firstLine="48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五、受理单位及咨询方式</w:t>
      </w:r>
    </w:p>
    <w:p w14:paraId="3968F9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" w:beforeAutospacing="0" w:after="120" w:afterAutospacing="0" w:line="420" w:lineRule="atLeast"/>
        <w:ind w:left="0" w:right="0" w:firstLine="420"/>
        <w:jc w:val="both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农业农村委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联系人：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周 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  电话：023-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71413136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章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书体坊王学勤钢笔行书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wYzg5YmVjZTRhN2NlNmM0MmY4ODMxNjJhNzNmYjIifQ=="/>
  </w:docVars>
  <w:rsids>
    <w:rsidRoot w:val="00000000"/>
    <w:rsid w:val="29C80F07"/>
    <w:rsid w:val="2B703511"/>
    <w:rsid w:val="46127B08"/>
    <w:rsid w:val="6130466C"/>
    <w:rsid w:val="733D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583</Characters>
  <Lines>0</Lines>
  <Paragraphs>0</Paragraphs>
  <TotalTime>2</TotalTime>
  <ScaleCrop>false</ScaleCrop>
  <LinksUpToDate>false</LinksUpToDate>
  <CharactersWithSpaces>584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2023-10-23T11:39:00Z</dcterms:created>
  <dc:creator>周一一</dc:creator>
  <cp:lastModifiedBy>鸡德烈滾</cp:lastModifiedBy>
  <dcterms:modified xsi:type="dcterms:W3CDTF">2024-10-11T02:40:57Z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2EB660F00B1A441EBF84F83E174A147D_12</vt:lpwstr>
  </property>
</Properties>
</file>