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1A85C">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Segoe UI" w:hAnsi="Segoe UI" w:eastAsia="Segoe UI" w:cs="Segoe UI"/>
          <w:i w:val="0"/>
          <w:iCs w:val="0"/>
          <w:caps w:val="0"/>
          <w:color w:val="0F1115"/>
          <w:spacing w:val="0"/>
          <w:sz w:val="32"/>
          <w:szCs w:val="32"/>
        </w:rPr>
      </w:pPr>
      <w:r>
        <w:rPr>
          <w:rFonts w:hint="eastAsia" w:ascii="方正小标宋_GBK" w:hAnsi="方正小标宋_GBK" w:eastAsia="方正小标宋_GBK" w:cs="方正小标宋_GBK"/>
          <w:b w:val="0"/>
          <w:bCs w:val="0"/>
          <w:i w:val="0"/>
          <w:iCs w:val="0"/>
          <w:caps w:val="0"/>
          <w:color w:val="0F1115"/>
          <w:spacing w:val="0"/>
          <w:sz w:val="44"/>
          <w:szCs w:val="44"/>
          <w:shd w:val="clear" w:color="auto" w:fill="FFFFFF"/>
          <w:lang w:val="en-US" w:eastAsia="zh-CN"/>
        </w:rPr>
        <w:t>南川区区属</w:t>
      </w:r>
      <w:r>
        <w:rPr>
          <w:rFonts w:hint="eastAsia" w:ascii="方正小标宋_GBK" w:hAnsi="方正小标宋_GBK" w:eastAsia="方正小标宋_GBK" w:cs="方正小标宋_GBK"/>
          <w:b w:val="0"/>
          <w:bCs w:val="0"/>
          <w:i w:val="0"/>
          <w:iCs w:val="0"/>
          <w:caps w:val="0"/>
          <w:color w:val="0F1115"/>
          <w:spacing w:val="0"/>
          <w:sz w:val="44"/>
          <w:szCs w:val="44"/>
          <w:shd w:val="clear" w:color="auto" w:fill="FFFFFF"/>
        </w:rPr>
        <w:t>国有企业投资基金管理暂行办法</w:t>
      </w:r>
    </w:p>
    <w:p w14:paraId="48C5D0B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楷体_GBK" w:hAnsi="方正楷体_GBK" w:eastAsia="方正楷体_GBK" w:cs="方正楷体_GBK"/>
          <w:b w:val="0"/>
          <w:bCs w:val="0"/>
          <w:i w:val="0"/>
          <w:iCs w:val="0"/>
          <w:caps w:val="0"/>
          <w:color w:val="0F1115"/>
          <w:spacing w:val="0"/>
          <w:sz w:val="32"/>
          <w:szCs w:val="32"/>
          <w:shd w:val="clear" w:color="auto" w:fill="FFFFFF"/>
          <w:lang w:eastAsia="zh-CN"/>
        </w:rPr>
      </w:pPr>
      <w:r>
        <w:rPr>
          <w:rFonts w:hint="eastAsia" w:ascii="方正楷体_GBK" w:hAnsi="方正楷体_GBK" w:eastAsia="方正楷体_GBK" w:cs="方正楷体_GBK"/>
          <w:b w:val="0"/>
          <w:bCs w:val="0"/>
          <w:i w:val="0"/>
          <w:iCs w:val="0"/>
          <w:caps w:val="0"/>
          <w:color w:val="0F1115"/>
          <w:spacing w:val="0"/>
          <w:sz w:val="32"/>
          <w:szCs w:val="32"/>
          <w:shd w:val="clear" w:color="auto" w:fill="FFFFFF"/>
          <w:lang w:eastAsia="zh-CN"/>
        </w:rPr>
        <w:t>（</w:t>
      </w:r>
      <w:r>
        <w:rPr>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征求意见稿</w:t>
      </w:r>
      <w:r>
        <w:rPr>
          <w:rFonts w:hint="eastAsia" w:ascii="方正楷体_GBK" w:hAnsi="方正楷体_GBK" w:eastAsia="方正楷体_GBK" w:cs="方正楷体_GBK"/>
          <w:b w:val="0"/>
          <w:bCs w:val="0"/>
          <w:i w:val="0"/>
          <w:iCs w:val="0"/>
          <w:caps w:val="0"/>
          <w:color w:val="0F1115"/>
          <w:spacing w:val="0"/>
          <w:sz w:val="32"/>
          <w:szCs w:val="32"/>
          <w:shd w:val="clear" w:color="auto" w:fill="FFFFFF"/>
          <w:lang w:eastAsia="zh-CN"/>
        </w:rPr>
        <w:t>）</w:t>
      </w:r>
    </w:p>
    <w:p w14:paraId="5A515EF8">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b w:val="0"/>
          <w:bCs w:val="0"/>
          <w:i w:val="0"/>
          <w:iCs w:val="0"/>
          <w:caps w:val="0"/>
          <w:color w:val="0F1115"/>
          <w:spacing w:val="0"/>
          <w:sz w:val="32"/>
          <w:szCs w:val="32"/>
          <w:shd w:val="clear" w:color="auto" w:fill="FFFFFF"/>
        </w:rPr>
      </w:pPr>
    </w:p>
    <w:p w14:paraId="04430B72">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b w:val="0"/>
          <w:bCs w:val="0"/>
          <w:i w:val="0"/>
          <w:iCs w:val="0"/>
          <w:caps w:val="0"/>
          <w:color w:val="0F1115"/>
          <w:spacing w:val="0"/>
          <w:sz w:val="32"/>
          <w:szCs w:val="32"/>
        </w:rPr>
      </w:pPr>
      <w:r>
        <w:rPr>
          <w:rFonts w:hint="eastAsia" w:ascii="方正黑体_GBK" w:hAnsi="方正黑体_GBK" w:eastAsia="方正黑体_GBK" w:cs="方正黑体_GBK"/>
          <w:b w:val="0"/>
          <w:bCs w:val="0"/>
          <w:i w:val="0"/>
          <w:iCs w:val="0"/>
          <w:caps w:val="0"/>
          <w:color w:val="0F1115"/>
          <w:spacing w:val="0"/>
          <w:sz w:val="32"/>
          <w:szCs w:val="32"/>
          <w:shd w:val="clear" w:color="auto" w:fill="FFFFFF"/>
        </w:rPr>
        <w:t>第一章 总则</w:t>
      </w:r>
    </w:p>
    <w:p w14:paraId="503246F4">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lang w:val="en-US" w:eastAsia="zh-CN"/>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第一条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为规范南川区区属国有企业投资基金运作，加强监督管理和风险防范，促进基金科学化、制度化、规范化</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管理</w:t>
      </w:r>
      <w:r>
        <w:rPr>
          <w:rFonts w:hint="default" w:ascii="Times New Roman" w:hAnsi="Times New Roman" w:eastAsia="方正仿宋_GBK" w:cs="Times New Roman"/>
          <w:i w:val="0"/>
          <w:iCs w:val="0"/>
          <w:caps w:val="0"/>
          <w:color w:val="0F1115"/>
          <w:spacing w:val="0"/>
          <w:sz w:val="32"/>
          <w:szCs w:val="32"/>
          <w:shd w:val="clear" w:color="auto" w:fill="FFFFFF"/>
        </w:rPr>
        <w:t>，提高基金使用效益，保障国有资产安全</w:t>
      </w:r>
      <w:r>
        <w:rPr>
          <w:rFonts w:hint="default" w:ascii="Times New Roman" w:hAnsi="Times New Roman" w:cs="Times New Roman"/>
          <w:i w:val="0"/>
          <w:iCs w:val="0"/>
          <w:caps w:val="0"/>
          <w:color w:val="0F1115"/>
          <w:spacing w:val="0"/>
          <w:sz w:val="32"/>
          <w:szCs w:val="32"/>
          <w:shd w:val="clear" w:color="auto" w:fill="FFFFFF"/>
          <w:lang w:val="en-US"/>
        </w:rPr>
        <w:t>。</w:t>
      </w:r>
      <w:r>
        <w:rPr>
          <w:rFonts w:hint="default" w:ascii="Times New Roman" w:hAnsi="Times New Roman" w:eastAsia="方正仿宋_GBK" w:cs="Times New Roman"/>
          <w:i w:val="0"/>
          <w:iCs w:val="0"/>
          <w:caps w:val="0"/>
          <w:color w:val="0F1115"/>
          <w:spacing w:val="0"/>
          <w:sz w:val="32"/>
          <w:szCs w:val="32"/>
          <w:shd w:val="clear" w:color="auto" w:fill="FFFFFF"/>
        </w:rPr>
        <w:t>根据《中华人民共和国企业国有资产法》《国务院办公厅关于促进政府投资基金高质量发展的指导意见》（国办发〔2025〕1号）《重庆市国有投资基金管理暂行办法》（渝府办发〔2026〕4号）</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和</w:t>
      </w:r>
      <w:r>
        <w:rPr>
          <w:rFonts w:hint="eastAsia" w:ascii="Times New Roman" w:hAnsi="Times New Roman" w:eastAsia="方正仿宋_GBK" w:cs="Times New Roman"/>
          <w:i w:val="0"/>
          <w:iCs w:val="0"/>
          <w:caps w:val="0"/>
          <w:color w:val="0F1115"/>
          <w:spacing w:val="0"/>
          <w:sz w:val="32"/>
          <w:szCs w:val="32"/>
          <w:shd w:val="clear" w:color="auto" w:fill="FFFFFF"/>
          <w:lang w:eastAsia="zh-CN"/>
        </w:rPr>
        <w:t>《</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重庆市国资委关于印发</w:t>
      </w:r>
      <w:r>
        <w:rPr>
          <w:rFonts w:hint="eastAsia" w:ascii="方正仿宋_GBK" w:hAnsi="方正仿宋_GBK" w:eastAsia="方正仿宋_GBK" w:cs="方正仿宋_GBK"/>
          <w:b w:val="0"/>
          <w:bCs w:val="0"/>
          <w:color w:val="000000" w:themeColor="text1"/>
          <w:spacing w:val="0"/>
          <w:w w:val="100"/>
          <w:sz w:val="32"/>
          <w:szCs w:val="32"/>
          <w:lang w:eastAsia="zh-CN"/>
          <w14:textFill>
            <w14:solidFill>
              <w14:schemeClr w14:val="tx1"/>
            </w14:solidFill>
          </w14:textFill>
        </w:rPr>
        <w:t>&lt;</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市属国有企业</w:t>
      </w:r>
      <w:r>
        <w:rPr>
          <w:rFonts w:hint="default" w:ascii="Times New Roman" w:hAnsi="Times New Roman" w:eastAsia="方正仿宋_GBK" w:cs="Times New Roman"/>
          <w:i w:val="0"/>
          <w:iCs w:val="0"/>
          <w:caps w:val="0"/>
          <w:color w:val="0F1115"/>
          <w:spacing w:val="0"/>
          <w:sz w:val="32"/>
          <w:szCs w:val="32"/>
          <w:shd w:val="clear" w:color="auto" w:fill="FFFFFF"/>
        </w:rPr>
        <w:t>基金</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业务</w:t>
      </w:r>
      <w:r>
        <w:rPr>
          <w:rFonts w:hint="default" w:ascii="Times New Roman" w:hAnsi="Times New Roman" w:eastAsia="方正仿宋_GBK" w:cs="Times New Roman"/>
          <w:i w:val="0"/>
          <w:iCs w:val="0"/>
          <w:caps w:val="0"/>
          <w:color w:val="0F1115"/>
          <w:spacing w:val="0"/>
          <w:sz w:val="32"/>
          <w:szCs w:val="32"/>
          <w:shd w:val="clear" w:color="auto" w:fill="FFFFFF"/>
        </w:rPr>
        <w:t>管理</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暂行</w:t>
      </w:r>
      <w:r>
        <w:rPr>
          <w:rFonts w:hint="default" w:ascii="Times New Roman" w:hAnsi="Times New Roman" w:eastAsia="方正仿宋_GBK" w:cs="Times New Roman"/>
          <w:i w:val="0"/>
          <w:iCs w:val="0"/>
          <w:caps w:val="0"/>
          <w:color w:val="0F1115"/>
          <w:spacing w:val="0"/>
          <w:sz w:val="32"/>
          <w:szCs w:val="32"/>
          <w:shd w:val="clear" w:color="auto" w:fill="FFFFFF"/>
        </w:rPr>
        <w:t>办法</w:t>
      </w:r>
      <w:r>
        <w:rPr>
          <w:rFonts w:hint="eastAsia" w:ascii="方正仿宋_GBK" w:hAnsi="方正仿宋_GBK" w:eastAsia="方正仿宋_GBK" w:cs="方正仿宋_GBK"/>
          <w:b w:val="0"/>
          <w:bCs w:val="0"/>
          <w:color w:val="000000" w:themeColor="text1"/>
          <w:spacing w:val="0"/>
          <w:w w:val="100"/>
          <w:sz w:val="32"/>
          <w:szCs w:val="32"/>
          <w:lang w:val="en-US" w:eastAsia="zh-CN"/>
          <w14:textFill>
            <w14:solidFill>
              <w14:schemeClr w14:val="tx1"/>
            </w14:solidFill>
          </w14:textFill>
        </w:rPr>
        <w:t>&gt;</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的通知</w:t>
      </w:r>
      <w:r>
        <w:rPr>
          <w:rFonts w:hint="default" w:ascii="Times New Roman" w:hAnsi="Times New Roman" w:eastAsia="方正仿宋_GBK" w:cs="Times New Roman"/>
          <w:i w:val="0"/>
          <w:iCs w:val="0"/>
          <w:caps w:val="0"/>
          <w:color w:val="0F1115"/>
          <w:spacing w:val="0"/>
          <w:sz w:val="32"/>
          <w:szCs w:val="32"/>
          <w:shd w:val="clear" w:color="auto" w:fill="FFFFFF"/>
        </w:rPr>
        <w:t>》（</w:t>
      </w:r>
      <w:r>
        <w:rPr>
          <w:rFonts w:hint="eastAsia" w:ascii="Times New Roman" w:hAnsi="Times New Roman" w:eastAsia="方正仿宋_GBK" w:cs="Times New Roman"/>
          <w:i w:val="0"/>
          <w:iCs w:val="0"/>
          <w:caps w:val="0"/>
          <w:color w:val="0F1115"/>
          <w:spacing w:val="0"/>
          <w:sz w:val="32"/>
          <w:szCs w:val="32"/>
          <w:highlight w:val="none"/>
          <w:shd w:val="clear" w:color="auto" w:fill="FFFFFF"/>
          <w:lang w:val="en-US" w:eastAsia="zh-CN"/>
        </w:rPr>
        <w:t>渝国资发</w:t>
      </w:r>
      <w:r>
        <w:rPr>
          <w:rFonts w:hint="default" w:ascii="Times New Roman" w:hAnsi="Times New Roman" w:eastAsia="方正仿宋_GBK" w:cs="Times New Roman"/>
          <w:i w:val="0"/>
          <w:iCs w:val="0"/>
          <w:caps w:val="0"/>
          <w:color w:val="0F1115"/>
          <w:spacing w:val="0"/>
          <w:sz w:val="32"/>
          <w:szCs w:val="32"/>
          <w:highlight w:val="none"/>
          <w:shd w:val="clear" w:color="auto" w:fill="FFFFFF"/>
        </w:rPr>
        <w:t>〔202</w:t>
      </w:r>
      <w:r>
        <w:rPr>
          <w:rFonts w:hint="eastAsia" w:ascii="Times New Roman" w:hAnsi="Times New Roman" w:eastAsia="方正仿宋_GBK" w:cs="Times New Roman"/>
          <w:i w:val="0"/>
          <w:iCs w:val="0"/>
          <w:caps w:val="0"/>
          <w:color w:val="0F1115"/>
          <w:spacing w:val="0"/>
          <w:sz w:val="32"/>
          <w:szCs w:val="32"/>
          <w:highlight w:val="none"/>
          <w:shd w:val="clear" w:color="auto" w:fill="FFFFFF"/>
          <w:lang w:val="en-US" w:eastAsia="zh-CN"/>
        </w:rPr>
        <w:t>5</w:t>
      </w:r>
      <w:r>
        <w:rPr>
          <w:rFonts w:hint="default" w:ascii="Times New Roman" w:hAnsi="Times New Roman" w:eastAsia="方正仿宋_GBK" w:cs="Times New Roman"/>
          <w:i w:val="0"/>
          <w:iCs w:val="0"/>
          <w:caps w:val="0"/>
          <w:color w:val="0F1115"/>
          <w:spacing w:val="0"/>
          <w:sz w:val="32"/>
          <w:szCs w:val="32"/>
          <w:highlight w:val="none"/>
          <w:shd w:val="clear" w:color="auto" w:fill="FFFFFF"/>
        </w:rPr>
        <w:t>〕</w:t>
      </w:r>
      <w:r>
        <w:rPr>
          <w:rFonts w:hint="eastAsia" w:ascii="Times New Roman" w:hAnsi="Times New Roman" w:eastAsia="方正仿宋_GBK" w:cs="Times New Roman"/>
          <w:i w:val="0"/>
          <w:iCs w:val="0"/>
          <w:caps w:val="0"/>
          <w:color w:val="0F1115"/>
          <w:spacing w:val="0"/>
          <w:sz w:val="32"/>
          <w:szCs w:val="32"/>
          <w:highlight w:val="none"/>
          <w:shd w:val="clear" w:color="auto" w:fill="FFFFFF"/>
          <w:lang w:val="en-US" w:eastAsia="zh-CN"/>
        </w:rPr>
        <w:t>9号</w:t>
      </w:r>
      <w:r>
        <w:rPr>
          <w:rFonts w:hint="default" w:ascii="Times New Roman" w:hAnsi="Times New Roman" w:eastAsia="方正仿宋_GBK" w:cs="Times New Roman"/>
          <w:i w:val="0"/>
          <w:iCs w:val="0"/>
          <w:caps w:val="0"/>
          <w:color w:val="0F1115"/>
          <w:spacing w:val="0"/>
          <w:sz w:val="32"/>
          <w:szCs w:val="32"/>
          <w:highlight w:val="none"/>
          <w:shd w:val="clear" w:color="auto" w:fill="FFFFFF"/>
        </w:rPr>
        <w:t>）等规定，结合南川实际，制定本办法。</w:t>
      </w:r>
    </w:p>
    <w:p w14:paraId="3875242D">
      <w:pPr>
        <w:keepNext w:val="0"/>
        <w:keepLines w:val="0"/>
        <w:pageBreakBefore w:val="0"/>
        <w:shd w:val="clear" w:color="FFFFFF" w:fill="FFFFFF"/>
        <w:kinsoku/>
        <w:wordWrap/>
        <w:overflowPunct/>
        <w:topLinePunct w:val="0"/>
        <w:autoSpaceDE/>
        <w:autoSpaceDN/>
        <w:bidi w:val="0"/>
        <w:adjustRightInd/>
        <w:snapToGrid/>
        <w:spacing w:line="560" w:lineRule="exact"/>
        <w:ind w:firstLine="640" w:firstLineChars="200"/>
        <w:jc w:val="both"/>
        <w:textAlignment w:val="auto"/>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第二条</w:t>
      </w:r>
      <w:r>
        <w:rPr>
          <w:rFonts w:hint="default" w:ascii="Times New Roman" w:hAnsi="Times New Roman" w:eastAsia="方正仿宋_GBK" w:cs="Times New Roman"/>
          <w:i w:val="0"/>
          <w:iCs w:val="0"/>
          <w:caps w:val="0"/>
          <w:color w:val="0F1115"/>
          <w:spacing w:val="0"/>
          <w:sz w:val="32"/>
          <w:szCs w:val="32"/>
          <w:shd w:val="clear" w:color="auto" w:fill="FFFFFF"/>
        </w:rPr>
        <w:t> 本办法所称区属国有企业投资基金，是指经区政府批准，区属国有企业以国有资本出资设立、按市场化方式运作的投资基金</w:t>
      </w:r>
      <w:r>
        <w:rPr>
          <w:rFonts w:hint="default" w:ascii="Times New Roman" w:hAnsi="Times New Roman" w:eastAsia="方正仿宋_GBK" w:cs="Times New Roman"/>
          <w:b w:val="0"/>
          <w:bCs w:val="0"/>
          <w:i w:val="0"/>
          <w:iCs w:val="0"/>
          <w:caps w:val="0"/>
          <w:color w:val="0F1115"/>
          <w:spacing w:val="0"/>
          <w:kern w:val="0"/>
          <w:sz w:val="32"/>
          <w:szCs w:val="32"/>
          <w:highlight w:val="none"/>
          <w:shd w:val="clear" w:color="FFFFFF" w:fill="FFFFFF"/>
          <w:vertAlign w:val="baseline"/>
          <w:lang w:val="en-US" w:eastAsia="zh-CN" w:bidi="ar-SA"/>
        </w:rPr>
        <w:t>（以下简称“国企投资基金”）</w:t>
      </w:r>
      <w:r>
        <w:rPr>
          <w:rFonts w:hint="default" w:ascii="Times New Roman" w:hAnsi="Times New Roman" w:cs="Times New Roman"/>
          <w:b w:val="0"/>
          <w:bCs w:val="0"/>
          <w:i w:val="0"/>
          <w:iCs w:val="0"/>
          <w:caps w:val="0"/>
          <w:color w:val="0F1115"/>
          <w:spacing w:val="0"/>
          <w:kern w:val="0"/>
          <w:sz w:val="32"/>
          <w:szCs w:val="32"/>
          <w:highlight w:val="none"/>
          <w:shd w:val="clear" w:color="FFFFFF" w:fill="FFFFFF"/>
          <w:vertAlign w:val="baseline"/>
          <w:lang w:val="en-US" w:eastAsia="zh-CN" w:bidi="ar-SA"/>
        </w:rPr>
        <w:t>。</w:t>
      </w:r>
      <w:r>
        <w:rPr>
          <w:rFonts w:hint="default" w:ascii="Times New Roman" w:hAnsi="Times New Roman" w:eastAsia="方正仿宋_GBK" w:cs="Times New Roman"/>
          <w:b w:val="0"/>
          <w:bCs w:val="0"/>
          <w:i w:val="0"/>
          <w:iCs w:val="0"/>
          <w:caps w:val="0"/>
          <w:color w:val="0F1115"/>
          <w:spacing w:val="0"/>
          <w:kern w:val="0"/>
          <w:sz w:val="32"/>
          <w:szCs w:val="32"/>
          <w:highlight w:val="none"/>
          <w:shd w:val="clear" w:color="FFFFFF" w:fill="FFFFFF"/>
          <w:vertAlign w:val="baseline"/>
          <w:lang w:val="en-US" w:eastAsia="zh-CN" w:bidi="ar-SA"/>
        </w:rPr>
        <w:t>根据出资比例和控制关系，分为全资基金、控股基金，实行分类管理：</w:t>
      </w:r>
    </w:p>
    <w:p w14:paraId="ACBB5DEE">
      <w:pPr>
        <w:keepNext w:val="0"/>
        <w:keepLines w:val="0"/>
        <w:pageBreakBefore w:val="0"/>
        <w:shd w:val="clear" w:color="FFFFFF" w:fill="FFFFFF"/>
        <w:kinsoku/>
        <w:wordWrap/>
        <w:overflowPunct/>
        <w:topLinePunct w:val="0"/>
        <w:autoSpaceDE/>
        <w:autoSpaceDN/>
        <w:bidi w:val="0"/>
        <w:adjustRightInd/>
        <w:snapToGrid/>
        <w:spacing w:line="560" w:lineRule="exact"/>
        <w:ind w:firstLine="640" w:firstLineChars="200"/>
        <w:jc w:val="left"/>
        <w:textAlignment w:val="auto"/>
      </w:pPr>
      <w:r>
        <w:rPr>
          <w:rFonts w:hint="default" w:ascii="Times New Roman" w:hAnsi="Times New Roman" w:eastAsia="方正仿宋_GBK" w:cs="Times New Roman"/>
          <w:b w:val="0"/>
          <w:bCs w:val="0"/>
          <w:i w:val="0"/>
          <w:iCs w:val="0"/>
          <w:caps w:val="0"/>
          <w:color w:val="000000"/>
          <w:spacing w:val="0"/>
          <w:kern w:val="0"/>
          <w:sz w:val="32"/>
          <w:szCs w:val="32"/>
          <w:highlight w:val="none"/>
          <w:shd w:val="clear" w:color="FFFFFF" w:fill="FFFFFF"/>
          <w:vertAlign w:val="baseline"/>
          <w:lang w:val="en-US" w:eastAsia="zh-CN" w:bidi="ar-SA"/>
        </w:rPr>
        <w:t>（一）全资基金。区属国有企业作为唯一股东或唯一有限合伙人（LP）出资设立的基金，适用本办法规定的全部管理要求。</w:t>
      </w:r>
    </w:p>
    <w:p w14:paraId="0EDAC1BF">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FF0000"/>
          <w:spacing w:val="0"/>
          <w:sz w:val="32"/>
          <w:szCs w:val="32"/>
          <w:lang w:val="en-US" w:eastAsia="zh-CN"/>
        </w:rPr>
      </w:pPr>
      <w:r>
        <w:rPr>
          <w:rFonts w:hint="default" w:ascii="Times New Roman" w:hAnsi="Times New Roman" w:eastAsia="方正仿宋_GBK" w:cs="Times New Roman"/>
          <w:b w:val="0"/>
          <w:bCs w:val="0"/>
          <w:i w:val="0"/>
          <w:iCs w:val="0"/>
          <w:caps w:val="0"/>
          <w:color w:val="000000"/>
          <w:spacing w:val="0"/>
          <w:kern w:val="0"/>
          <w:sz w:val="32"/>
          <w:szCs w:val="32"/>
          <w:highlight w:val="none"/>
          <w:shd w:val="clear" w:color="FFFFFF" w:fill="FFFFFF"/>
          <w:vertAlign w:val="baseline"/>
          <w:lang w:val="en-US" w:eastAsia="zh-CN" w:bidi="ar-SA"/>
        </w:rPr>
        <w:t>（二）控股基金。区属国有企业出资比例超过50%，或虽未超过50%但通过协议、公司章程、投资决策委员会安排等方式实际控制的基金，适用本办法规定的全部管理要求。其中，基金投资方式、基金管理费标准、收益分配可根据实际情况与其他投资方协商确定。</w:t>
      </w:r>
    </w:p>
    <w:p w14:paraId="56A8312C">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三</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lang w:val="en-US"/>
        </w:rPr>
        <w:t>国企投资基金应当遵循“聚焦战略取向、坚持市场运作、科学规范决策、合理防范风险、严格考核评价”的原则，充分贯彻区委、区政府决策部署，发挥国有资本引导作用，服务南川区实体经济发展和现代化产业体系建设。</w:t>
      </w:r>
    </w:p>
    <w:p w14:paraId="6FC690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40"/>
        </w:rPr>
      </w:pPr>
    </w:p>
    <w:p w14:paraId="5D122E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rPr>
        <w:t>第二章　职责</w:t>
      </w:r>
      <w:r>
        <w:rPr>
          <w:rFonts w:hint="eastAsia" w:ascii="方正黑体_GBK" w:hAnsi="方正黑体_GBK" w:eastAsia="方正黑体_GBK" w:cs="方正黑体_GBK"/>
          <w:sz w:val="32"/>
          <w:szCs w:val="40"/>
          <w:lang w:val="en-US" w:eastAsia="zh-CN"/>
        </w:rPr>
        <w:t>分工</w:t>
      </w:r>
    </w:p>
    <w:p w14:paraId="330E5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Style w:val="11"/>
          <w:rFonts w:hint="default"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bidi="ar-SA"/>
        </w:rPr>
        <w:t>第四条</w:t>
      </w:r>
      <w:r>
        <w:rPr>
          <w:rFonts w:hint="default" w:ascii="Times New Roman" w:hAnsi="Times New Roman" w:eastAsia="方正仿宋_GBK" w:cs="Times New Roman"/>
          <w:sz w:val="32"/>
          <w:szCs w:val="40"/>
        </w:rPr>
        <w:t>　区国资委履行对</w:t>
      </w:r>
      <w:r>
        <w:rPr>
          <w:rFonts w:hint="default" w:ascii="Times New Roman" w:hAnsi="Times New Roman" w:eastAsia="方正仿宋_GBK" w:cs="Times New Roman"/>
          <w:i w:val="0"/>
          <w:iCs w:val="0"/>
          <w:caps w:val="0"/>
          <w:color w:val="0F1115"/>
          <w:spacing w:val="0"/>
          <w:sz w:val="32"/>
          <w:szCs w:val="32"/>
          <w:shd w:val="clear" w:color="auto" w:fill="FFFFFF"/>
        </w:rPr>
        <w:t>国企投资基金</w:t>
      </w:r>
      <w:r>
        <w:rPr>
          <w:rFonts w:hint="default" w:ascii="Times New Roman" w:hAnsi="Times New Roman" w:eastAsia="方正仿宋_GBK" w:cs="Times New Roman"/>
          <w:sz w:val="32"/>
          <w:szCs w:val="40"/>
        </w:rPr>
        <w:t>的监督管理职责，主要职责包括：</w:t>
      </w:r>
    </w:p>
    <w:p w14:paraId="18C4E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（一）负责督促落实区委、区政府关于</w:t>
      </w:r>
      <w:r>
        <w:rPr>
          <w:rFonts w:hint="default" w:ascii="Times New Roman" w:hAnsi="Times New Roman" w:eastAsia="方正仿宋_GBK" w:cs="Times New Roman"/>
          <w:i w:val="0"/>
          <w:iCs w:val="0"/>
          <w:caps w:val="0"/>
          <w:color w:val="0F1115"/>
          <w:spacing w:val="0"/>
          <w:sz w:val="32"/>
          <w:szCs w:val="32"/>
          <w:shd w:val="clear" w:color="auto" w:fill="FFFFFF"/>
        </w:rPr>
        <w:t>国企投资基金</w:t>
      </w:r>
      <w:r>
        <w:rPr>
          <w:rFonts w:hint="default" w:ascii="Times New Roman" w:hAnsi="Times New Roman" w:eastAsia="方正仿宋_GBK" w:cs="Times New Roman"/>
          <w:sz w:val="32"/>
          <w:szCs w:val="40"/>
        </w:rPr>
        <w:t>工作的有关要求；</w:t>
      </w:r>
    </w:p>
    <w:p w14:paraId="7F590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（二）负责</w:t>
      </w:r>
      <w:r>
        <w:rPr>
          <w:rFonts w:hint="default" w:ascii="Times New Roman" w:hAnsi="Times New Roman" w:eastAsia="方正仿宋_GBK" w:cs="Times New Roman"/>
          <w:i w:val="0"/>
          <w:iCs w:val="0"/>
          <w:caps w:val="0"/>
          <w:color w:val="0F1115"/>
          <w:spacing w:val="0"/>
          <w:sz w:val="32"/>
          <w:szCs w:val="32"/>
          <w:shd w:val="clear" w:color="auto" w:fill="FFFFFF"/>
        </w:rPr>
        <w:t>国企投资基金</w:t>
      </w:r>
      <w:r>
        <w:rPr>
          <w:rFonts w:hint="default" w:ascii="Times New Roman" w:hAnsi="Times New Roman" w:eastAsia="方正仿宋_GBK" w:cs="Times New Roman"/>
          <w:sz w:val="32"/>
          <w:szCs w:val="40"/>
        </w:rPr>
        <w:t>的设立审查、方案审核和备案管理；</w:t>
      </w:r>
    </w:p>
    <w:p w14:paraId="13DC3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（三）负责对</w:t>
      </w:r>
      <w:r>
        <w:rPr>
          <w:rFonts w:hint="default" w:ascii="Times New Roman" w:hAnsi="Times New Roman" w:eastAsia="方正仿宋_GBK" w:cs="Times New Roman"/>
          <w:i w:val="0"/>
          <w:iCs w:val="0"/>
          <w:caps w:val="0"/>
          <w:color w:val="0F1115"/>
          <w:spacing w:val="0"/>
          <w:sz w:val="32"/>
          <w:szCs w:val="32"/>
          <w:shd w:val="clear" w:color="auto" w:fill="FFFFFF"/>
        </w:rPr>
        <w:t>国企投资基金</w:t>
      </w:r>
      <w:r>
        <w:rPr>
          <w:rFonts w:hint="default" w:ascii="Times New Roman" w:hAnsi="Times New Roman" w:eastAsia="方正仿宋_GBK" w:cs="Times New Roman"/>
          <w:sz w:val="32"/>
          <w:szCs w:val="40"/>
        </w:rPr>
        <w:t>的规范运作与管理情况进行监督检查和风险防控；</w:t>
      </w:r>
    </w:p>
    <w:p w14:paraId="68514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w:t>
      </w:r>
      <w:r>
        <w:rPr>
          <w:rFonts w:hint="eastAsia" w:ascii="Times New Roman" w:hAnsi="Times New Roman" w:eastAsia="方正仿宋_GBK" w:cs="Times New Roman"/>
          <w:sz w:val="32"/>
          <w:szCs w:val="40"/>
          <w:lang w:val="en-US" w:eastAsia="zh-CN"/>
        </w:rPr>
        <w:t>负责对</w:t>
      </w:r>
      <w:r>
        <w:rPr>
          <w:rFonts w:hint="default" w:ascii="Times New Roman" w:hAnsi="Times New Roman" w:eastAsia="方正仿宋_GBK" w:cs="Times New Roman"/>
          <w:i w:val="0"/>
          <w:iCs w:val="0"/>
          <w:caps w:val="0"/>
          <w:color w:val="0F1115"/>
          <w:spacing w:val="0"/>
          <w:sz w:val="32"/>
          <w:szCs w:val="32"/>
          <w:shd w:val="clear" w:color="auto" w:fill="FFFFFF"/>
        </w:rPr>
        <w:t>国企投资基金</w:t>
      </w:r>
      <w:r>
        <w:rPr>
          <w:rFonts w:hint="default" w:ascii="Times New Roman" w:hAnsi="Times New Roman" w:eastAsia="方正仿宋_GBK" w:cs="Times New Roman"/>
          <w:sz w:val="32"/>
          <w:szCs w:val="40"/>
        </w:rPr>
        <w:t>开展</w:t>
      </w:r>
      <w:r>
        <w:rPr>
          <w:rFonts w:hint="eastAsia" w:ascii="Times New Roman" w:hAnsi="Times New Roman" w:eastAsia="方正仿宋_GBK" w:cs="Times New Roman"/>
          <w:sz w:val="32"/>
          <w:szCs w:val="40"/>
          <w:lang w:val="en-US" w:eastAsia="zh-CN"/>
        </w:rPr>
        <w:t>投资后</w:t>
      </w:r>
      <w:r>
        <w:rPr>
          <w:rFonts w:hint="default" w:ascii="Times New Roman" w:hAnsi="Times New Roman" w:eastAsia="方正仿宋_GBK" w:cs="Times New Roman"/>
          <w:sz w:val="32"/>
          <w:szCs w:val="40"/>
        </w:rPr>
        <w:t>评价；</w:t>
      </w:r>
    </w:p>
    <w:p w14:paraId="1FA4D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（五）负责指导区属国有企业建立健全基金管理制度体系。</w:t>
      </w:r>
    </w:p>
    <w:p w14:paraId="421ED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Style w:val="11"/>
          <w:rFonts w:hint="eastAsia"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 xml:space="preserve">第五条  </w:t>
      </w:r>
      <w:r>
        <w:rPr>
          <w:rFonts w:hint="default" w:ascii="Times New Roman" w:hAnsi="Times New Roman" w:eastAsia="方正仿宋_GBK" w:cs="Times New Roman"/>
          <w:sz w:val="32"/>
          <w:szCs w:val="40"/>
        </w:rPr>
        <w:t>区属国有企业出资主体是基金管理的责任主体，主要职责包括：</w:t>
      </w:r>
    </w:p>
    <w:p w14:paraId="49CEBD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（一）按照本办法规定，负责基金的组建、内部决策程序和风控制度的建立与完善；</w:t>
      </w:r>
    </w:p>
    <w:p w14:paraId="3F519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（二）负责</w:t>
      </w:r>
      <w:r>
        <w:rPr>
          <w:rFonts w:hint="eastAsia" w:ascii="Times New Roman" w:hAnsi="Times New Roman" w:eastAsia="方正仿宋_GBK" w:cs="Times New Roman"/>
          <w:sz w:val="32"/>
          <w:szCs w:val="40"/>
          <w:lang w:val="en-US" w:eastAsia="zh-CN"/>
        </w:rPr>
        <w:t>遴选基金管理人，</w:t>
      </w:r>
      <w:r>
        <w:rPr>
          <w:rFonts w:hint="default" w:ascii="Times New Roman" w:hAnsi="Times New Roman" w:eastAsia="方正仿宋_GBK" w:cs="Times New Roman"/>
          <w:i w:val="0"/>
          <w:iCs w:val="0"/>
          <w:caps w:val="0"/>
          <w:color w:val="0F1115"/>
          <w:spacing w:val="0"/>
          <w:sz w:val="32"/>
          <w:szCs w:val="32"/>
          <w:shd w:val="clear" w:color="auto" w:fill="FFFFFF"/>
        </w:rPr>
        <w:t>组织设立基金法人机构</w:t>
      </w:r>
      <w:r>
        <w:rPr>
          <w:rFonts w:hint="default" w:ascii="Times New Roman" w:hAnsi="Times New Roman" w:eastAsia="方正仿宋_GBK" w:cs="Times New Roman"/>
          <w:sz w:val="32"/>
          <w:szCs w:val="40"/>
        </w:rPr>
        <w:t>；</w:t>
      </w:r>
    </w:p>
    <w:p w14:paraId="0CCDF2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（三）提出组建基金的具体方案，按规定程序和权限报审；</w:t>
      </w:r>
    </w:p>
    <w:p w14:paraId="696CA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（四）负责对基金管理人和基金运行情况开展考核评价，定期向区国资委报告基金运行情况；</w:t>
      </w:r>
    </w:p>
    <w:p w14:paraId="726F3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（五）建立健全基金投后管理制度，及时跟踪基金投资运作情况；</w:t>
      </w:r>
    </w:p>
    <w:p w14:paraId="3EBBB33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40"/>
        </w:rPr>
      </w:pPr>
      <w:r>
        <w:rPr>
          <w:rFonts w:hint="eastAsia" w:ascii="Times New Roman" w:hAnsi="Times New Roman" w:eastAsia="方正仿宋_GBK" w:cs="Times New Roman"/>
          <w:i w:val="0"/>
          <w:iCs w:val="0"/>
          <w:caps w:val="0"/>
          <w:color w:val="0F1115"/>
          <w:spacing w:val="0"/>
          <w:sz w:val="32"/>
          <w:szCs w:val="32"/>
          <w:shd w:val="clear" w:color="auto" w:fill="FFFFFF"/>
          <w:lang w:eastAsia="zh-CN"/>
        </w:rPr>
        <w:t>（</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六</w:t>
      </w:r>
      <w:r>
        <w:rPr>
          <w:rFonts w:hint="eastAsia" w:ascii="Times New Roman" w:hAnsi="Times New Roman" w:eastAsia="方正仿宋_GBK" w:cs="Times New Roman"/>
          <w:i w:val="0"/>
          <w:iCs w:val="0"/>
          <w:caps w:val="0"/>
          <w:color w:val="0F1115"/>
          <w:spacing w:val="0"/>
          <w:sz w:val="32"/>
          <w:szCs w:val="32"/>
          <w:shd w:val="clear" w:color="auto" w:fill="FFFFFF"/>
          <w:lang w:eastAsia="zh-CN"/>
        </w:rPr>
        <w:t>）</w:t>
      </w:r>
      <w:r>
        <w:rPr>
          <w:rFonts w:hint="default" w:ascii="Times New Roman" w:hAnsi="Times New Roman" w:eastAsia="方正仿宋_GBK" w:cs="Times New Roman"/>
          <w:i w:val="0"/>
          <w:iCs w:val="0"/>
          <w:caps w:val="0"/>
          <w:color w:val="0F1115"/>
          <w:spacing w:val="0"/>
          <w:sz w:val="32"/>
          <w:szCs w:val="32"/>
          <w:shd w:val="clear" w:color="auto" w:fill="FFFFFF"/>
          <w:lang w:eastAsia="zh-CN"/>
        </w:rPr>
        <w:t>建立完善本企业基金投资决策、跟踪监测、风险</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防控</w:t>
      </w:r>
      <w:r>
        <w:rPr>
          <w:rFonts w:hint="default" w:ascii="Times New Roman" w:hAnsi="Times New Roman" w:eastAsia="方正仿宋_GBK" w:cs="Times New Roman"/>
          <w:i w:val="0"/>
          <w:iCs w:val="0"/>
          <w:caps w:val="0"/>
          <w:color w:val="0F1115"/>
          <w:spacing w:val="0"/>
          <w:sz w:val="32"/>
          <w:szCs w:val="32"/>
          <w:shd w:val="clear" w:color="auto" w:fill="FFFFFF"/>
          <w:lang w:eastAsia="zh-CN"/>
        </w:rPr>
        <w:t>、风险应对、投后评价机制等管理制度；</w:t>
      </w:r>
    </w:p>
    <w:p w14:paraId="10F9B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w:t>
      </w:r>
      <w:r>
        <w:rPr>
          <w:rFonts w:hint="eastAsia" w:ascii="Times New Roman" w:hAnsi="Times New Roman" w:eastAsia="方正仿宋_GBK" w:cs="Times New Roman"/>
          <w:sz w:val="32"/>
          <w:szCs w:val="40"/>
          <w:lang w:val="en-US" w:eastAsia="zh-CN"/>
        </w:rPr>
        <w:t>七</w:t>
      </w:r>
      <w:r>
        <w:rPr>
          <w:rFonts w:hint="default" w:ascii="Times New Roman" w:hAnsi="Times New Roman" w:eastAsia="方正仿宋_GBK" w:cs="Times New Roman"/>
          <w:sz w:val="32"/>
          <w:szCs w:val="40"/>
        </w:rPr>
        <w:t>）根据区国资委要求开展的其他相关工作。</w:t>
      </w:r>
    </w:p>
    <w:p w14:paraId="0F51E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Style w:val="11"/>
          <w:rFonts w:hint="eastAsia"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 xml:space="preserve">第六条  </w:t>
      </w:r>
      <w:r>
        <w:rPr>
          <w:rFonts w:hint="default" w:ascii="Times New Roman" w:hAnsi="Times New Roman" w:eastAsia="方正仿宋_GBK" w:cs="Times New Roman"/>
          <w:sz w:val="32"/>
          <w:szCs w:val="40"/>
        </w:rPr>
        <w:t>基金管理人由区属国有企业市场化</w:t>
      </w:r>
      <w:r>
        <w:rPr>
          <w:rFonts w:hint="eastAsia" w:ascii="Times New Roman" w:hAnsi="Times New Roman" w:eastAsia="方正仿宋_GBK" w:cs="Times New Roman"/>
          <w:sz w:val="32"/>
          <w:szCs w:val="40"/>
          <w:lang w:val="en-US" w:eastAsia="zh-CN"/>
        </w:rPr>
        <w:t>遴选</w:t>
      </w:r>
      <w:r>
        <w:rPr>
          <w:rFonts w:hint="default" w:ascii="Times New Roman" w:hAnsi="Times New Roman" w:eastAsia="方正仿宋_GBK" w:cs="Times New Roman"/>
          <w:sz w:val="32"/>
          <w:szCs w:val="40"/>
        </w:rPr>
        <w:t>，主要职责包括：</w:t>
      </w:r>
    </w:p>
    <w:p w14:paraId="64EA57E7">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eastAsia="zh-CN"/>
        </w:rPr>
      </w:pPr>
      <w:r>
        <w:rPr>
          <w:rFonts w:hint="default" w:ascii="Times New Roman" w:hAnsi="Times New Roman" w:eastAsia="方正仿宋_GBK" w:cs="Times New Roman"/>
          <w:i w:val="0"/>
          <w:iCs w:val="0"/>
          <w:caps w:val="0"/>
          <w:color w:val="0F1115"/>
          <w:spacing w:val="0"/>
          <w:sz w:val="32"/>
          <w:szCs w:val="32"/>
          <w:shd w:val="clear" w:color="auto" w:fill="FFFFFF"/>
          <w:lang w:eastAsia="zh-CN"/>
        </w:rPr>
        <w:t>（一）负责基金的设立备案相关工作，依法向中国证券投资基金业协会履行登记和备案手续；</w:t>
      </w:r>
    </w:p>
    <w:p w14:paraId="08230BFD">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eastAsia="zh-CN"/>
        </w:rPr>
      </w:pPr>
      <w:r>
        <w:rPr>
          <w:rFonts w:hint="default" w:ascii="Times New Roman" w:hAnsi="Times New Roman" w:eastAsia="方正仿宋_GBK" w:cs="Times New Roman"/>
          <w:i w:val="0"/>
          <w:iCs w:val="0"/>
          <w:caps w:val="0"/>
          <w:color w:val="0F1115"/>
          <w:spacing w:val="0"/>
          <w:sz w:val="32"/>
          <w:szCs w:val="32"/>
          <w:shd w:val="clear" w:color="auto" w:fill="FFFFFF"/>
          <w:lang w:eastAsia="zh-CN"/>
        </w:rPr>
        <w:t>（二）负责对基金拟投项目开展立项、尽职调查，提出拟投项目方案；</w:t>
      </w:r>
    </w:p>
    <w:p w14:paraId="59BA0F74">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eastAsia="zh-CN"/>
        </w:rPr>
      </w:pPr>
      <w:r>
        <w:rPr>
          <w:rFonts w:hint="default" w:ascii="Times New Roman" w:hAnsi="Times New Roman" w:eastAsia="方正仿宋_GBK" w:cs="Times New Roman"/>
          <w:i w:val="0"/>
          <w:iCs w:val="0"/>
          <w:caps w:val="0"/>
          <w:color w:val="0F1115"/>
          <w:spacing w:val="0"/>
          <w:sz w:val="32"/>
          <w:szCs w:val="32"/>
          <w:shd w:val="clear" w:color="auto" w:fill="FFFFFF"/>
          <w:lang w:eastAsia="zh-CN"/>
        </w:rPr>
        <w:t>（三）负责落实项目入股谈判、协议签署、投后管理、退出等工作；</w:t>
      </w:r>
    </w:p>
    <w:p w14:paraId="5C2D744D">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eastAsia="zh-CN"/>
        </w:rPr>
      </w:pPr>
      <w:r>
        <w:rPr>
          <w:rFonts w:hint="default" w:ascii="Times New Roman" w:hAnsi="Times New Roman" w:eastAsia="方正仿宋_GBK" w:cs="Times New Roman"/>
          <w:i w:val="0"/>
          <w:iCs w:val="0"/>
          <w:caps w:val="0"/>
          <w:color w:val="0F1115"/>
          <w:spacing w:val="0"/>
          <w:sz w:val="32"/>
          <w:szCs w:val="32"/>
          <w:shd w:val="clear" w:color="auto" w:fill="FFFFFF"/>
          <w:lang w:eastAsia="zh-CN"/>
        </w:rPr>
        <w:t>（四）对基金实行专户管理、专账核算；</w:t>
      </w:r>
    </w:p>
    <w:p w14:paraId="455083EE">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eastAsia="zh-CN"/>
        </w:rPr>
      </w:pPr>
      <w:r>
        <w:rPr>
          <w:rFonts w:hint="default" w:ascii="Times New Roman" w:hAnsi="Times New Roman" w:eastAsia="方正仿宋_GBK" w:cs="Times New Roman"/>
          <w:i w:val="0"/>
          <w:iCs w:val="0"/>
          <w:caps w:val="0"/>
          <w:color w:val="0F1115"/>
          <w:spacing w:val="0"/>
          <w:sz w:val="32"/>
          <w:szCs w:val="32"/>
          <w:shd w:val="clear" w:color="auto" w:fill="FFFFFF"/>
          <w:lang w:eastAsia="zh-CN"/>
        </w:rPr>
        <w:t>（五）定期向区属国有企业出资主体报送基金运作情况、资金使用情况，并于年终报送经审计的基金年度财务报告；</w:t>
      </w:r>
    </w:p>
    <w:p w14:paraId="A62D13B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val="en-US" w:eastAsia="zh-CN"/>
        </w:rPr>
      </w:pPr>
      <w:r>
        <w:rPr>
          <w:rFonts w:hint="default" w:ascii="Times New Roman" w:hAnsi="Times New Roman" w:eastAsia="方正仿宋_GBK" w:cs="Times New Roman"/>
          <w:i w:val="0"/>
          <w:iCs w:val="0"/>
          <w:caps w:val="0"/>
          <w:color w:val="0F1115"/>
          <w:spacing w:val="0"/>
          <w:sz w:val="32"/>
          <w:szCs w:val="32"/>
          <w:shd w:val="clear" w:color="auto" w:fill="FFFFFF"/>
          <w:lang w:eastAsia="zh-CN"/>
        </w:rPr>
        <w:t>（六）建立健全关联交易管理制度和廉政风险防控体系，不得以基金财产与关联方进行不正当交易或利益输送</w:t>
      </w:r>
      <w:r>
        <w:rPr>
          <w:rFonts w:hint="default" w:ascii="Times New Roman" w:hAnsi="Times New Roman" w:eastAsia="方正仿宋_GBK" w:cs="Times New Roman"/>
          <w:i w:val="0"/>
          <w:iCs w:val="0"/>
          <w:caps w:val="0"/>
          <w:color w:val="0F1115"/>
          <w:spacing w:val="0"/>
          <w:sz w:val="32"/>
          <w:szCs w:val="32"/>
          <w:shd w:val="clear" w:color="auto" w:fill="FFFFFF"/>
          <w:lang w:val="en-US" w:eastAsia="zh-CN"/>
        </w:rPr>
        <w:t>。</w:t>
      </w:r>
    </w:p>
    <w:p w14:paraId="C227CFA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Style w:val="11"/>
          <w:rFonts w:hint="eastAsia" w:ascii="方正楷体_GBK" w:hAnsi="方正楷体_GBK" w:eastAsia="方正楷体_GBK" w:cs="方正楷体_GBK"/>
          <w:b w:val="0"/>
          <w:bCs w:val="0"/>
          <w:i w:val="0"/>
          <w:iCs w:val="0"/>
          <w:caps w:val="0"/>
          <w:color w:val="0F1115"/>
          <w:spacing w:val="0"/>
          <w:kern w:val="0"/>
          <w:sz w:val="32"/>
          <w:szCs w:val="32"/>
          <w:highlight w:val="none"/>
          <w:shd w:val="clear" w:color="FFFFFF" w:fill="FFFFFF"/>
          <w:vertAlign w:val="baseline"/>
          <w:lang w:val="en-US" w:eastAsia="zh-CN" w:bidi="ar-SA"/>
        </w:rPr>
        <w:t>第七条</w:t>
      </w:r>
      <w:r>
        <w:rPr>
          <w:rFonts w:hint="default" w:ascii="Times New Roman" w:hAnsi="Times New Roman" w:eastAsia="方正仿宋_GBK" w:cs="Times New Roman"/>
          <w:i w:val="0"/>
          <w:iCs w:val="0"/>
          <w:caps w:val="0"/>
          <w:color w:val="0F1115"/>
          <w:spacing w:val="0"/>
          <w:kern w:val="0"/>
          <w:sz w:val="32"/>
          <w:szCs w:val="32"/>
          <w:shd w:val="clear" w:color="auto" w:fill="FFFFFF"/>
          <w:lang w:val="en-US" w:eastAsia="zh-CN" w:bidi="ar-SA"/>
        </w:rPr>
        <w:t xml:space="preserve"> </w:t>
      </w:r>
      <w:r>
        <w:rPr>
          <w:rFonts w:hint="eastAsia" w:ascii="Times New Roman" w:hAnsi="Times New Roman" w:eastAsia="方正仿宋_GBK" w:cs="Times New Roman"/>
          <w:i w:val="0"/>
          <w:iCs w:val="0"/>
          <w:caps w:val="0"/>
          <w:color w:val="0F1115"/>
          <w:spacing w:val="0"/>
          <w:kern w:val="0"/>
          <w:sz w:val="32"/>
          <w:szCs w:val="32"/>
          <w:shd w:val="clear" w:color="auto" w:fill="FFFFFF"/>
          <w:lang w:val="en-US" w:eastAsia="zh-CN" w:bidi="ar-SA"/>
        </w:rPr>
        <w:t xml:space="preserve"> </w:t>
      </w:r>
      <w:r>
        <w:rPr>
          <w:rFonts w:hint="default" w:ascii="Times New Roman" w:hAnsi="Times New Roman" w:eastAsia="方正仿宋_GBK" w:cs="Times New Roman"/>
          <w:i w:val="0"/>
          <w:iCs w:val="0"/>
          <w:caps w:val="0"/>
          <w:color w:val="0F1115"/>
          <w:spacing w:val="0"/>
          <w:kern w:val="0"/>
          <w:sz w:val="32"/>
          <w:szCs w:val="32"/>
          <w:shd w:val="clear" w:color="auto" w:fill="FFFFFF"/>
          <w:lang w:val="en-US" w:eastAsia="zh-CN" w:bidi="ar-SA"/>
        </w:rPr>
        <w:t>各行业主管部门对国企投资基金的投向进行指导。</w:t>
      </w:r>
    </w:p>
    <w:p w14:paraId="1E6B7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Style w:val="11"/>
          <w:rFonts w:hint="eastAsia" w:ascii="方正楷体_GBK" w:hAnsi="方正楷体_GBK" w:eastAsia="方正楷体_GBK" w:cs="方正楷体_GBK"/>
          <w:b w:val="0"/>
          <w:bCs w:val="0"/>
          <w:i w:val="0"/>
          <w:iCs w:val="0"/>
          <w:caps w:val="0"/>
          <w:color w:val="0F1115"/>
          <w:spacing w:val="0"/>
          <w:kern w:val="0"/>
          <w:sz w:val="32"/>
          <w:szCs w:val="32"/>
          <w:highlight w:val="none"/>
          <w:shd w:val="clear" w:color="FFFFFF" w:fill="FFFFFF"/>
          <w:vertAlign w:val="baseline"/>
          <w:lang w:val="en-US" w:eastAsia="zh-CN" w:bidi="ar-SA"/>
        </w:rPr>
        <w:t xml:space="preserve">第八条  </w:t>
      </w:r>
      <w:r>
        <w:rPr>
          <w:rFonts w:hint="default" w:ascii="Times New Roman" w:hAnsi="Times New Roman" w:eastAsia="方正仿宋_GBK" w:cs="Times New Roman"/>
          <w:i w:val="0"/>
          <w:iCs w:val="0"/>
          <w:caps w:val="0"/>
          <w:color w:val="0F1115"/>
          <w:spacing w:val="0"/>
          <w:kern w:val="0"/>
          <w:sz w:val="32"/>
          <w:szCs w:val="32"/>
          <w:shd w:val="clear" w:color="auto" w:fill="FFFFFF"/>
          <w:lang w:val="en-US" w:eastAsia="zh-CN" w:bidi="ar-SA"/>
        </w:rPr>
        <w:t>区审计局依法对国企投资基金的管理和使用情况进行审计监督。</w:t>
      </w:r>
    </w:p>
    <w:p w14:paraId="34306850">
      <w:pPr>
        <w:keepNext w:val="0"/>
        <w:keepLines w:val="0"/>
        <w:pageBreakBefore w:val="0"/>
        <w:kinsoku/>
        <w:wordWrap/>
        <w:overflowPunct/>
        <w:topLinePunct w:val="0"/>
        <w:autoSpaceDE/>
        <w:autoSpaceDN/>
        <w:bidi w:val="0"/>
        <w:adjustRightInd/>
        <w:snapToGrid/>
        <w:spacing w:line="560" w:lineRule="exact"/>
        <w:textAlignment w:val="auto"/>
        <w:rPr>
          <w:rFonts w:hint="default"/>
        </w:rPr>
      </w:pPr>
    </w:p>
    <w:p w14:paraId="289C6CCF">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仿宋_GBK" w:cs="Times New Roman"/>
          <w:i w:val="0"/>
          <w:iCs w:val="0"/>
          <w:caps w:val="0"/>
          <w:color w:val="0F1115"/>
          <w:spacing w:val="0"/>
          <w:sz w:val="32"/>
          <w:szCs w:val="32"/>
        </w:rPr>
      </w:pPr>
      <w:r>
        <w:rPr>
          <w:rFonts w:hint="default" w:ascii="方正黑体_GBK" w:hAnsi="方正黑体_GBK" w:eastAsia="方正黑体_GBK" w:cs="方正黑体_GBK"/>
          <w:b w:val="0"/>
          <w:bCs w:val="0"/>
          <w:i w:val="0"/>
          <w:iCs w:val="0"/>
          <w:caps w:val="0"/>
          <w:color w:val="0F1115"/>
          <w:spacing w:val="0"/>
          <w:sz w:val="32"/>
          <w:szCs w:val="32"/>
          <w:shd w:val="clear" w:color="auto" w:fill="FFFFFF"/>
        </w:rPr>
        <w:t>第</w:t>
      </w:r>
      <w:r>
        <w:rPr>
          <w:rFonts w:hint="eastAsia" w:ascii="方正黑体_GBK" w:hAnsi="方正黑体_GBK" w:eastAsia="方正黑体_GBK" w:cs="方正黑体_GBK"/>
          <w:b w:val="0"/>
          <w:bCs w:val="0"/>
          <w:i w:val="0"/>
          <w:iCs w:val="0"/>
          <w:caps w:val="0"/>
          <w:color w:val="0F1115"/>
          <w:spacing w:val="0"/>
          <w:sz w:val="32"/>
          <w:szCs w:val="32"/>
          <w:shd w:val="clear" w:color="auto" w:fill="FFFFFF"/>
          <w:lang w:eastAsia="zh-CN"/>
        </w:rPr>
        <w:t>三</w:t>
      </w:r>
      <w:r>
        <w:rPr>
          <w:rFonts w:hint="default" w:ascii="方正黑体_GBK" w:hAnsi="方正黑体_GBK" w:eastAsia="方正黑体_GBK" w:cs="方正黑体_GBK"/>
          <w:b w:val="0"/>
          <w:bCs w:val="0"/>
          <w:i w:val="0"/>
          <w:iCs w:val="0"/>
          <w:caps w:val="0"/>
          <w:color w:val="0F1115"/>
          <w:spacing w:val="0"/>
          <w:sz w:val="32"/>
          <w:szCs w:val="32"/>
          <w:shd w:val="clear" w:color="auto" w:fill="FFFFFF"/>
        </w:rPr>
        <w:t>章 基金的设立</w:t>
      </w:r>
    </w:p>
    <w:p w14:paraId="2062186E">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default" w:ascii="方正楷体_GBK" w:hAnsi="方正楷体_GBK" w:eastAsia="方正楷体_GBK" w:cs="方正楷体_GBK"/>
          <w:b w:val="0"/>
          <w:bCs w:val="0"/>
          <w:i w:val="0"/>
          <w:iCs w:val="0"/>
          <w:caps w:val="0"/>
          <w:color w:val="0F1115"/>
          <w:spacing w:val="0"/>
          <w:kern w:val="0"/>
          <w:sz w:val="32"/>
          <w:szCs w:val="32"/>
          <w:highlight w:val="none"/>
          <w:shd w:val="clear" w:color="FFFFFF" w:fill="FFFFFF"/>
          <w:vertAlign w:val="baseline"/>
          <w:lang w:val="en-US" w:eastAsia="zh-CN" w:bidi="ar-SA"/>
        </w:rPr>
        <w:t>第九条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 区属国有企业发起设立基金时，应立足企业主责主业，并结合自身资本实力、管理水平等合理确定基金规模，经区政府同意后可开展基金设立前期论证工作。</w:t>
      </w:r>
    </w:p>
    <w:p w14:paraId="7A3F4552">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十</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 区属国有企业围绕企业主业和发展战略，结合行业特点，对市场、策略、团队和合规性等方面开展可行性研究论证，分析论证设立投资基金的必要性，预测和分析投资基金的产业投向、市场预期、资金来源、投资回报、投资风险及其他可能影响投资的情况，形成可行性研究报告。可行性研究报告由企业自行编制，或委托具有相应资质的专业中介机构编制。</w:t>
      </w:r>
    </w:p>
    <w:p w14:paraId="5EB3D032">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十一</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rPr>
        <w:t>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完成可行性研究报告编制后，</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区属国有企业</w:t>
      </w:r>
      <w:r>
        <w:rPr>
          <w:rFonts w:hint="default" w:ascii="Times New Roman" w:hAnsi="Times New Roman" w:eastAsia="方正仿宋_GBK" w:cs="Times New Roman"/>
          <w:i w:val="0"/>
          <w:iCs w:val="0"/>
          <w:caps w:val="0"/>
          <w:color w:val="0F1115"/>
          <w:spacing w:val="0"/>
          <w:sz w:val="32"/>
          <w:szCs w:val="32"/>
          <w:shd w:val="clear" w:color="auto" w:fill="FFFFFF"/>
        </w:rPr>
        <w:t>应编制基金管理人遴选方案，初步明确基金规模、出资方案、投资方向、管理人资格条件等，采取市场化方式公开遴选基金管理人。</w:t>
      </w:r>
    </w:p>
    <w:p w14:paraId="307C6207">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十</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lang w:val="en-US" w:eastAsia="zh-CN"/>
        </w:rPr>
        <w:t>二</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 </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遴选基金管理人时，应重点考察投资管理能力、历史业绩、团队稳定性与经验、产业导入与返投能力、基金方案契合度等。</w:t>
      </w:r>
    </w:p>
    <w:p w14:paraId="4A376552">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区属国有企业</w:t>
      </w:r>
      <w:r>
        <w:rPr>
          <w:rFonts w:hint="default" w:ascii="Times New Roman" w:hAnsi="Times New Roman" w:eastAsia="方正仿宋_GBK" w:cs="Times New Roman"/>
          <w:i w:val="0"/>
          <w:iCs w:val="0"/>
          <w:caps w:val="0"/>
          <w:color w:val="0F1115"/>
          <w:spacing w:val="0"/>
          <w:sz w:val="32"/>
          <w:szCs w:val="32"/>
          <w:shd w:val="clear" w:color="auto" w:fill="FFFFFF"/>
        </w:rPr>
        <w:t>对综合评分靠前的候选机构开展尽职调查与现场考察，核实办公场所、团队配置、项目储备等情况。根据评审得分、尽调结果，由国企投资基金出资人确定拟合作机构，并对遴选结果进行公示。</w:t>
      </w:r>
    </w:p>
    <w:p w14:paraId="32FFB8C4">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第十</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lang w:val="en-US"/>
        </w:rPr>
        <w:t>三</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 基金管理人和其他投资</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人</w:t>
      </w:r>
      <w:r>
        <w:rPr>
          <w:rFonts w:hint="default" w:ascii="Times New Roman" w:hAnsi="Times New Roman" w:eastAsia="方正仿宋_GBK" w:cs="Times New Roman"/>
          <w:i w:val="0"/>
          <w:iCs w:val="0"/>
          <w:caps w:val="0"/>
          <w:color w:val="0F1115"/>
          <w:spacing w:val="0"/>
          <w:sz w:val="32"/>
          <w:szCs w:val="32"/>
          <w:shd w:val="clear" w:color="auto" w:fill="FFFFFF"/>
        </w:rPr>
        <w:t>确定后，</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区属国有企业</w:t>
      </w:r>
      <w:r>
        <w:rPr>
          <w:rFonts w:hint="default" w:ascii="Times New Roman" w:hAnsi="Times New Roman" w:eastAsia="方正仿宋_GBK" w:cs="Times New Roman"/>
          <w:i w:val="0"/>
          <w:iCs w:val="0"/>
          <w:caps w:val="0"/>
          <w:color w:val="0F1115"/>
          <w:spacing w:val="0"/>
          <w:sz w:val="32"/>
          <w:szCs w:val="32"/>
          <w:shd w:val="clear" w:color="auto" w:fill="FFFFFF"/>
        </w:rPr>
        <w:t>应将基金设立方案</w:t>
      </w:r>
      <w:r>
        <w:rPr>
          <w:rFonts w:hint="default" w:ascii="Times New Roman" w:hAnsi="Times New Roman" w:eastAsia="方正仿宋_GBK" w:cs="Times New Roman"/>
          <w:i w:val="0"/>
          <w:iCs w:val="0"/>
          <w:caps w:val="0"/>
          <w:color w:val="0F1115"/>
          <w:spacing w:val="0"/>
          <w:sz w:val="32"/>
          <w:szCs w:val="32"/>
          <w:shd w:val="clear" w:color="auto" w:fill="FFFFFF"/>
          <w:lang w:val="en-US"/>
        </w:rPr>
        <w:t>提请</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区委、</w:t>
      </w:r>
      <w:r>
        <w:rPr>
          <w:rFonts w:hint="default" w:ascii="Times New Roman" w:hAnsi="Times New Roman" w:eastAsia="方正仿宋_GBK" w:cs="Times New Roman"/>
          <w:i w:val="0"/>
          <w:iCs w:val="0"/>
          <w:caps w:val="0"/>
          <w:color w:val="0F1115"/>
          <w:spacing w:val="0"/>
          <w:sz w:val="32"/>
          <w:szCs w:val="32"/>
          <w:shd w:val="clear" w:color="auto" w:fill="FFFFFF"/>
        </w:rPr>
        <w:t>区政府审议</w:t>
      </w:r>
      <w:r>
        <w:rPr>
          <w:rFonts w:hint="default" w:ascii="Times New Roman" w:hAnsi="Times New Roman" w:eastAsia="方正仿宋_GBK" w:cs="Times New Roman"/>
          <w:i w:val="0"/>
          <w:iCs w:val="0"/>
          <w:caps w:val="0"/>
          <w:color w:val="0F1115"/>
          <w:spacing w:val="0"/>
          <w:sz w:val="32"/>
          <w:szCs w:val="32"/>
          <w:shd w:val="clear" w:color="auto" w:fill="FFFFFF"/>
          <w:lang w:val="en-US"/>
        </w:rPr>
        <w:t>。同时向区国资委</w:t>
      </w:r>
      <w:r>
        <w:rPr>
          <w:rFonts w:hint="default" w:ascii="Times New Roman" w:hAnsi="Times New Roman" w:eastAsia="方正仿宋_GBK" w:cs="Times New Roman"/>
          <w:i w:val="0"/>
          <w:iCs w:val="0"/>
          <w:caps w:val="0"/>
          <w:color w:val="0F1115"/>
          <w:spacing w:val="0"/>
          <w:sz w:val="32"/>
          <w:szCs w:val="32"/>
          <w:shd w:val="clear" w:color="auto" w:fill="FFFFFF"/>
        </w:rPr>
        <w:t>提交下列材料：</w:t>
      </w:r>
    </w:p>
    <w:p w14:paraId="30933F91">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Fonts w:hint="default" w:ascii="Times New Roman" w:hAnsi="Times New Roman" w:eastAsia="方正仿宋_GBK" w:cs="Times New Roman"/>
          <w:i w:val="0"/>
          <w:iCs w:val="0"/>
          <w:caps w:val="0"/>
          <w:color w:val="0F1115"/>
          <w:spacing w:val="0"/>
          <w:sz w:val="32"/>
          <w:szCs w:val="32"/>
          <w:shd w:val="clear" w:color="auto" w:fill="FFFFFF"/>
        </w:rPr>
        <w:t>（一）设立申请；</w:t>
      </w:r>
    </w:p>
    <w:p w14:paraId="1A34E8B5">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Fonts w:hint="default" w:ascii="Times New Roman" w:hAnsi="Times New Roman" w:eastAsia="方正仿宋_GBK" w:cs="Times New Roman"/>
          <w:i w:val="0"/>
          <w:iCs w:val="0"/>
          <w:caps w:val="0"/>
          <w:color w:val="0F1115"/>
          <w:spacing w:val="0"/>
          <w:sz w:val="32"/>
          <w:szCs w:val="32"/>
          <w:shd w:val="clear" w:color="auto" w:fill="FFFFFF"/>
        </w:rPr>
        <w:t>（二）董事会决议；</w:t>
      </w:r>
    </w:p>
    <w:p w14:paraId="2B9F5EB2">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Fonts w:hint="default" w:ascii="Times New Roman" w:hAnsi="Times New Roman" w:eastAsia="方正仿宋_GBK" w:cs="Times New Roman"/>
          <w:i w:val="0"/>
          <w:iCs w:val="0"/>
          <w:caps w:val="0"/>
          <w:color w:val="0F1115"/>
          <w:spacing w:val="0"/>
          <w:sz w:val="32"/>
          <w:szCs w:val="32"/>
          <w:shd w:val="clear" w:color="auto" w:fill="FFFFFF"/>
        </w:rPr>
        <w:t>（三）投资基金可行性研究报告、尽职调查、法律意见书；</w:t>
      </w:r>
    </w:p>
    <w:p w14:paraId="48CC316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Fonts w:hint="default" w:ascii="Times New Roman" w:hAnsi="Times New Roman" w:eastAsia="方正仿宋_GBK" w:cs="Times New Roman"/>
          <w:i w:val="0"/>
          <w:iCs w:val="0"/>
          <w:caps w:val="0"/>
          <w:color w:val="0F1115"/>
          <w:spacing w:val="0"/>
          <w:sz w:val="32"/>
          <w:szCs w:val="32"/>
          <w:shd w:val="clear" w:color="auto" w:fill="FFFFFF"/>
        </w:rPr>
        <w:t>（四）基金章程（草案）、合伙协议草案（草案）、合同（草案）或意向性文件；</w:t>
      </w:r>
    </w:p>
    <w:p w14:paraId="2D7A7CEF">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Fonts w:hint="default" w:ascii="Times New Roman" w:hAnsi="Times New Roman" w:eastAsia="方正仿宋_GBK" w:cs="Times New Roman"/>
          <w:i w:val="0"/>
          <w:iCs w:val="0"/>
          <w:caps w:val="0"/>
          <w:color w:val="0F1115"/>
          <w:spacing w:val="0"/>
          <w:sz w:val="32"/>
          <w:szCs w:val="32"/>
          <w:shd w:val="clear" w:color="auto" w:fill="FFFFFF"/>
        </w:rPr>
        <w:t>（五）基金管理人、其他投资人近期经审计的</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财务报告</w:t>
      </w:r>
      <w:r>
        <w:rPr>
          <w:rFonts w:hint="default" w:ascii="Times New Roman" w:hAnsi="Times New Roman" w:eastAsia="方正仿宋_GBK" w:cs="Times New Roman"/>
          <w:i w:val="0"/>
          <w:iCs w:val="0"/>
          <w:caps w:val="0"/>
          <w:color w:val="0F1115"/>
          <w:spacing w:val="0"/>
          <w:sz w:val="32"/>
          <w:szCs w:val="32"/>
          <w:shd w:val="clear" w:color="auto" w:fill="FFFFFF"/>
        </w:rPr>
        <w:t>；</w:t>
      </w:r>
    </w:p>
    <w:p w14:paraId="3C278EA4">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Fonts w:hint="default" w:ascii="Times New Roman" w:hAnsi="Times New Roman" w:eastAsia="方正仿宋_GBK" w:cs="Times New Roman"/>
          <w:i w:val="0"/>
          <w:iCs w:val="0"/>
          <w:caps w:val="0"/>
          <w:color w:val="0F1115"/>
          <w:spacing w:val="0"/>
          <w:sz w:val="32"/>
          <w:szCs w:val="32"/>
          <w:shd w:val="clear" w:color="auto" w:fill="FFFFFF"/>
        </w:rPr>
        <w:t>（六）区国资委认为必要的其他文件。</w:t>
      </w:r>
    </w:p>
    <w:p w14:paraId="41CE4DE9">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val="en-US"/>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第十</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四</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区属国有企业</w:t>
      </w:r>
      <w:r>
        <w:rPr>
          <w:rFonts w:hint="default" w:ascii="Times New Roman" w:hAnsi="Times New Roman" w:eastAsia="方正仿宋_GBK" w:cs="Times New Roman"/>
          <w:i w:val="0"/>
          <w:iCs w:val="0"/>
          <w:caps w:val="0"/>
          <w:color w:val="0F1115"/>
          <w:spacing w:val="0"/>
          <w:sz w:val="32"/>
          <w:szCs w:val="32"/>
          <w:shd w:val="clear" w:color="auto" w:fill="FFFFFF"/>
          <w:lang w:val="en-US"/>
        </w:rPr>
        <w:t>应当按照现行法律法规，根据不同的组织形式，与基金管理人、其他投资</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人</w:t>
      </w:r>
      <w:r>
        <w:rPr>
          <w:rFonts w:hint="default" w:ascii="Times New Roman" w:hAnsi="Times New Roman" w:eastAsia="方正仿宋_GBK" w:cs="Times New Roman"/>
          <w:i w:val="0"/>
          <w:iCs w:val="0"/>
          <w:caps w:val="0"/>
          <w:color w:val="0F1115"/>
          <w:spacing w:val="0"/>
          <w:sz w:val="32"/>
          <w:szCs w:val="32"/>
          <w:shd w:val="clear" w:color="auto" w:fill="FFFFFF"/>
          <w:lang w:val="en-US"/>
        </w:rPr>
        <w:t>签订协议，制定投资基金公司章程等，明确投资基金的运行决策机制、风险防范、投资退出、管理费用和收益分配等。</w:t>
      </w:r>
    </w:p>
    <w:p w14:paraId="56744648">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val="en-US"/>
        </w:rPr>
      </w:pPr>
      <w:r>
        <w:rPr>
          <w:rFonts w:hint="default" w:ascii="Times New Roman" w:hAnsi="Times New Roman" w:eastAsia="方正仿宋_GBK" w:cs="Times New Roman"/>
          <w:i w:val="0"/>
          <w:iCs w:val="0"/>
          <w:caps w:val="0"/>
          <w:color w:val="0F1115"/>
          <w:spacing w:val="0"/>
          <w:sz w:val="32"/>
          <w:szCs w:val="32"/>
          <w:shd w:val="clear" w:color="auto" w:fill="FFFFFF"/>
          <w:lang w:val="en-US"/>
        </w:rPr>
        <w:t>基金管理人及时办理基金的工商注册、银行托管、基金业协会备案等工作。</w:t>
      </w:r>
    </w:p>
    <w:p w14:paraId="0A37DA02">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pPr>
    </w:p>
    <w:p w14:paraId="36BD7B8F">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pPr>
      <w:r>
        <w:rPr>
          <w:rFonts w:hint="default" w:ascii="方正黑体_GBK" w:hAnsi="方正黑体_GBK" w:eastAsia="方正黑体_GBK" w:cs="方正黑体_GBK"/>
          <w:b w:val="0"/>
          <w:bCs w:val="0"/>
          <w:i w:val="0"/>
          <w:iCs w:val="0"/>
          <w:caps w:val="0"/>
          <w:color w:val="0F1115"/>
          <w:spacing w:val="0"/>
          <w:sz w:val="32"/>
          <w:szCs w:val="32"/>
          <w:shd w:val="clear" w:color="auto" w:fill="FFFFFF"/>
        </w:rPr>
        <w:t>第</w:t>
      </w:r>
      <w:r>
        <w:rPr>
          <w:rFonts w:hint="eastAsia" w:ascii="方正黑体_GBK" w:hAnsi="方正黑体_GBK" w:eastAsia="方正黑体_GBK" w:cs="方正黑体_GBK"/>
          <w:b w:val="0"/>
          <w:bCs w:val="0"/>
          <w:i w:val="0"/>
          <w:iCs w:val="0"/>
          <w:caps w:val="0"/>
          <w:color w:val="0F1115"/>
          <w:spacing w:val="0"/>
          <w:sz w:val="32"/>
          <w:szCs w:val="32"/>
          <w:shd w:val="clear" w:color="auto" w:fill="FFFFFF"/>
          <w:lang w:val="en-US" w:eastAsia="zh-CN"/>
        </w:rPr>
        <w:t>四</w:t>
      </w:r>
      <w:r>
        <w:rPr>
          <w:rFonts w:hint="default" w:ascii="方正黑体_GBK" w:hAnsi="方正黑体_GBK" w:eastAsia="方正黑体_GBK" w:cs="方正黑体_GBK"/>
          <w:b w:val="0"/>
          <w:bCs w:val="0"/>
          <w:i w:val="0"/>
          <w:iCs w:val="0"/>
          <w:caps w:val="0"/>
          <w:color w:val="0F1115"/>
          <w:spacing w:val="0"/>
          <w:sz w:val="32"/>
          <w:szCs w:val="32"/>
          <w:shd w:val="clear" w:color="auto" w:fill="FFFFFF"/>
        </w:rPr>
        <w:t>章 基金的运作</w:t>
      </w:r>
    </w:p>
    <w:p w14:paraId="41FB958E">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highlight w:val="none"/>
          <w:shd w:val="clear" w:color="auto" w:fill="FFFFFF"/>
          <w:lang w:val="en-US" w:eastAsia="zh-CN"/>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第十</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五</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国企投资基金可采取</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母</w:t>
      </w:r>
      <w:r>
        <w:rPr>
          <w:rFonts w:hint="default" w:ascii="Times New Roman" w:hAnsi="Times New Roman" w:eastAsia="方正仿宋_GBK" w:cs="Times New Roman"/>
          <w:i w:val="0"/>
          <w:iCs w:val="0"/>
          <w:caps w:val="0"/>
          <w:color w:val="0F1115"/>
          <w:spacing w:val="0"/>
          <w:sz w:val="32"/>
          <w:szCs w:val="32"/>
          <w:shd w:val="clear" w:color="auto" w:fill="FFFFFF"/>
        </w:rPr>
        <w:t>子基金和直</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投项目</w:t>
      </w:r>
      <w:r>
        <w:rPr>
          <w:rFonts w:hint="default" w:ascii="Times New Roman" w:hAnsi="Times New Roman" w:eastAsia="方正仿宋_GBK" w:cs="Times New Roman"/>
          <w:i w:val="0"/>
          <w:iCs w:val="0"/>
          <w:caps w:val="0"/>
          <w:color w:val="0F1115"/>
          <w:spacing w:val="0"/>
          <w:sz w:val="32"/>
          <w:szCs w:val="32"/>
          <w:shd w:val="clear" w:color="auto" w:fill="FFFFFF"/>
        </w:rPr>
        <w:t>方式进行投资。子基金</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原则上以直投项目方式进行投资，</w:t>
      </w:r>
      <w:r>
        <w:rPr>
          <w:rFonts w:hint="default" w:ascii="Times New Roman" w:hAnsi="Times New Roman" w:eastAsia="方正仿宋_GBK" w:cs="Times New Roman"/>
          <w:i w:val="0"/>
          <w:iCs w:val="0"/>
          <w:caps w:val="0"/>
          <w:color w:val="0F1115"/>
          <w:spacing w:val="0"/>
          <w:sz w:val="32"/>
          <w:szCs w:val="32"/>
          <w:shd w:val="clear" w:color="auto" w:fill="FFFFFF"/>
          <w:lang w:val="en-US" w:eastAsia="zh-CN"/>
        </w:rPr>
        <w:t>控制</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基金层级，防止多层嵌套</w:t>
      </w:r>
      <w:r>
        <w:rPr>
          <w:rFonts w:hint="default" w:ascii="Times New Roman" w:hAnsi="Times New Roman" w:eastAsia="方正仿宋_GBK" w:cs="Times New Roman"/>
          <w:i w:val="0"/>
          <w:iCs w:val="0"/>
          <w:caps w:val="0"/>
          <w:color w:val="0F1115"/>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0F1115"/>
          <w:spacing w:val="0"/>
          <w:sz w:val="32"/>
          <w:szCs w:val="32"/>
          <w:shd w:val="clear" w:color="auto" w:fill="FFFFFF"/>
        </w:rPr>
        <w:t>国</w:t>
      </w:r>
      <w:r>
        <w:rPr>
          <w:rFonts w:hint="default" w:ascii="Times New Roman" w:hAnsi="Times New Roman" w:eastAsia="方正仿宋_GBK" w:cs="Times New Roman"/>
          <w:i w:val="0"/>
          <w:iCs w:val="0"/>
          <w:caps w:val="0"/>
          <w:color w:val="0F1115"/>
          <w:spacing w:val="0"/>
          <w:sz w:val="32"/>
          <w:szCs w:val="32"/>
          <w:highlight w:val="none"/>
          <w:shd w:val="clear" w:color="auto" w:fill="FFFFFF"/>
        </w:rPr>
        <w:t>企投资基金本身不得作为普通合伙人承担无限责任。</w:t>
      </w:r>
    </w:p>
    <w:p w14:paraId="74DD8DD1">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highlight w:val="none"/>
          <w:shd w:val="clear" w:color="auto" w:fill="FFFFFF"/>
        </w:rPr>
      </w:pPr>
      <w:r>
        <w:rPr>
          <w:rFonts w:hint="default" w:ascii="Times New Roman" w:hAnsi="Times New Roman" w:eastAsia="方正仿宋_GBK" w:cs="Times New Roman"/>
          <w:i w:val="0"/>
          <w:iCs w:val="0"/>
          <w:caps w:val="0"/>
          <w:color w:val="0F1115"/>
          <w:spacing w:val="0"/>
          <w:sz w:val="32"/>
          <w:szCs w:val="32"/>
          <w:highlight w:val="none"/>
          <w:shd w:val="clear" w:color="auto" w:fill="FFFFFF"/>
          <w:lang w:val="en-US" w:eastAsia="zh-CN"/>
        </w:rPr>
        <w:t>（一）母基金在单个子基金中的出资比例原则上不超过该子基金认缴总规模的30%，最多不超过50%；母基金对单个子基金的出资金额原则上不超过母</w:t>
      </w:r>
      <w:r>
        <w:rPr>
          <w:rFonts w:hint="eastAsia" w:ascii="Times New Roman" w:hAnsi="Times New Roman" w:eastAsia="方正仿宋_GBK" w:cs="Times New Roman"/>
          <w:i w:val="0"/>
          <w:iCs w:val="0"/>
          <w:caps w:val="0"/>
          <w:color w:val="0F1115"/>
          <w:spacing w:val="0"/>
          <w:sz w:val="32"/>
          <w:szCs w:val="32"/>
          <w:shd w:val="clear" w:color="auto" w:fill="FFFFFF"/>
        </w:rPr>
        <w:t>基金规模</w:t>
      </w:r>
      <w:r>
        <w:rPr>
          <w:rFonts w:hint="default" w:ascii="Times New Roman" w:hAnsi="Times New Roman" w:eastAsia="方正仿宋_GBK" w:cs="Times New Roman"/>
          <w:i w:val="0"/>
          <w:iCs w:val="0"/>
          <w:caps w:val="0"/>
          <w:color w:val="0F1115"/>
          <w:spacing w:val="0"/>
          <w:sz w:val="32"/>
          <w:szCs w:val="32"/>
          <w:highlight w:val="none"/>
          <w:shd w:val="clear" w:color="auto" w:fill="FFFFFF"/>
          <w:lang w:val="en-US" w:eastAsia="zh-CN"/>
        </w:rPr>
        <w:t>的20%，确需超过的应报区政府审批。</w:t>
      </w:r>
    </w:p>
    <w:p w14:paraId="0240479F">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Fonts w:hint="default" w:ascii="Times New Roman" w:hAnsi="Times New Roman" w:eastAsia="方正仿宋_GBK" w:cs="Times New Roman"/>
          <w:i w:val="0"/>
          <w:iCs w:val="0"/>
          <w:caps w:val="0"/>
          <w:color w:val="0F1115"/>
          <w:spacing w:val="0"/>
          <w:sz w:val="32"/>
          <w:szCs w:val="32"/>
          <w:shd w:val="clear" w:color="auto" w:fill="FFFFFF"/>
          <w:lang w:val="en-US"/>
        </w:rPr>
        <w:t>（二）</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母基金或子基金</w:t>
      </w:r>
      <w:r>
        <w:rPr>
          <w:rFonts w:hint="eastAsia" w:ascii="Times New Roman" w:hAnsi="Times New Roman" w:eastAsia="方正仿宋_GBK" w:cs="Times New Roman"/>
          <w:i w:val="0"/>
          <w:iCs w:val="0"/>
          <w:caps w:val="0"/>
          <w:color w:val="0F1115"/>
          <w:spacing w:val="0"/>
          <w:sz w:val="32"/>
          <w:szCs w:val="32"/>
          <w:shd w:val="clear" w:color="auto" w:fill="FFFFFF"/>
        </w:rPr>
        <w:t>对单个项目的累计持股比例，原则上不超过被投资企业在投资完成时总股权的30%，对单个项目股权投资的资金总额原则上不超过基金规模的20%。</w:t>
      </w:r>
    </w:p>
    <w:p w14:paraId="25640E54">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十六</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lang w:val="en-US"/>
        </w:rPr>
        <w:t>国企投资基金拟投资的项目，应按照《南川区国有企业股权投资决策工作方案》（南川府办〔2025〕13号）规定履行决策程序。</w:t>
      </w:r>
    </w:p>
    <w:p w14:paraId="6503A4B3">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十七</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国企</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投资</w:t>
      </w:r>
      <w:r>
        <w:rPr>
          <w:rFonts w:hint="default" w:ascii="Times New Roman" w:hAnsi="Times New Roman" w:eastAsia="方正仿宋_GBK" w:cs="Times New Roman"/>
          <w:i w:val="0"/>
          <w:iCs w:val="0"/>
          <w:caps w:val="0"/>
          <w:color w:val="0F1115"/>
          <w:spacing w:val="0"/>
          <w:sz w:val="32"/>
          <w:szCs w:val="32"/>
          <w:shd w:val="clear" w:color="auto" w:fill="FFFFFF"/>
        </w:rPr>
        <w:t>基金的管理费，按以下标准执行：国企投资基金管理费用，由出资人按基金实际管理规模向基金管理人支付委托管理费用，原则上</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投资期内</w:t>
      </w:r>
      <w:r>
        <w:rPr>
          <w:rFonts w:hint="default" w:ascii="Times New Roman" w:hAnsi="Times New Roman" w:eastAsia="方正仿宋_GBK" w:cs="Times New Roman"/>
          <w:i w:val="0"/>
          <w:iCs w:val="0"/>
          <w:caps w:val="0"/>
          <w:color w:val="0F1115"/>
          <w:spacing w:val="0"/>
          <w:sz w:val="32"/>
          <w:szCs w:val="32"/>
          <w:shd w:val="clear" w:color="auto" w:fill="FFFFFF"/>
        </w:rPr>
        <w:t>按照不超过</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基金实投</w:t>
      </w:r>
      <w:r>
        <w:rPr>
          <w:rFonts w:hint="default" w:ascii="Times New Roman" w:hAnsi="Times New Roman" w:eastAsia="方正仿宋_GBK" w:cs="Times New Roman"/>
          <w:i w:val="0"/>
          <w:iCs w:val="0"/>
          <w:caps w:val="0"/>
          <w:color w:val="0F1115"/>
          <w:spacing w:val="0"/>
          <w:sz w:val="32"/>
          <w:szCs w:val="32"/>
          <w:shd w:val="clear" w:color="auto" w:fill="FFFFFF"/>
        </w:rPr>
        <w:t>金额</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的</w:t>
      </w:r>
      <w:r>
        <w:rPr>
          <w:rFonts w:hint="default" w:ascii="Times New Roman" w:hAnsi="Times New Roman" w:eastAsia="方正仿宋_GBK" w:cs="Times New Roman"/>
          <w:i w:val="0"/>
          <w:iCs w:val="0"/>
          <w:caps w:val="0"/>
          <w:color w:val="0F1115"/>
          <w:spacing w:val="0"/>
          <w:sz w:val="32"/>
          <w:szCs w:val="32"/>
          <w:shd w:val="clear" w:color="auto" w:fill="FFFFFF"/>
        </w:rPr>
        <w:t>1%/年</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计取管理费</w:t>
      </w:r>
      <w:r>
        <w:rPr>
          <w:rFonts w:hint="default" w:ascii="Times New Roman" w:hAnsi="Times New Roman" w:eastAsia="方正仿宋_GBK" w:cs="Times New Roman"/>
          <w:i w:val="0"/>
          <w:iCs w:val="0"/>
          <w:caps w:val="0"/>
          <w:color w:val="0F1115"/>
          <w:spacing w:val="0"/>
          <w:sz w:val="32"/>
          <w:szCs w:val="32"/>
          <w:shd w:val="clear" w:color="auto" w:fill="FFFFFF"/>
        </w:rPr>
        <w:t>，退出期内按不超过</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基金实投</w:t>
      </w:r>
      <w:r>
        <w:rPr>
          <w:rFonts w:hint="default" w:ascii="Times New Roman" w:hAnsi="Times New Roman" w:eastAsia="方正仿宋_GBK" w:cs="Times New Roman"/>
          <w:i w:val="0"/>
          <w:iCs w:val="0"/>
          <w:caps w:val="0"/>
          <w:color w:val="0F1115"/>
          <w:spacing w:val="0"/>
          <w:sz w:val="32"/>
          <w:szCs w:val="32"/>
          <w:shd w:val="clear" w:color="auto" w:fill="FFFFFF"/>
        </w:rPr>
        <w:t>金额</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的0.5</w:t>
      </w:r>
      <w:r>
        <w:rPr>
          <w:rFonts w:hint="default" w:ascii="Times New Roman" w:hAnsi="Times New Roman" w:eastAsia="方正仿宋_GBK" w:cs="Times New Roman"/>
          <w:i w:val="0"/>
          <w:iCs w:val="0"/>
          <w:caps w:val="0"/>
          <w:color w:val="0F1115"/>
          <w:spacing w:val="0"/>
          <w:sz w:val="32"/>
          <w:szCs w:val="32"/>
          <w:shd w:val="clear" w:color="auto" w:fill="FFFFFF"/>
        </w:rPr>
        <w:t>%/年</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计</w:t>
      </w:r>
      <w:r>
        <w:rPr>
          <w:rFonts w:hint="default" w:ascii="Times New Roman" w:hAnsi="Times New Roman" w:eastAsia="方正仿宋_GBK" w:cs="Times New Roman"/>
          <w:i w:val="0"/>
          <w:iCs w:val="0"/>
          <w:caps w:val="0"/>
          <w:color w:val="0F1115"/>
          <w:spacing w:val="0"/>
          <w:sz w:val="32"/>
          <w:szCs w:val="32"/>
          <w:shd w:val="clear" w:color="auto" w:fill="FFFFFF"/>
        </w:rPr>
        <w:t>取管理费，延长期</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不计</w:t>
      </w:r>
      <w:r>
        <w:rPr>
          <w:rFonts w:hint="default" w:ascii="Times New Roman" w:hAnsi="Times New Roman" w:eastAsia="方正仿宋_GBK" w:cs="Times New Roman"/>
          <w:i w:val="0"/>
          <w:iCs w:val="0"/>
          <w:caps w:val="0"/>
          <w:color w:val="0F1115"/>
          <w:spacing w:val="0"/>
          <w:sz w:val="32"/>
          <w:szCs w:val="32"/>
          <w:shd w:val="clear" w:color="auto" w:fill="FFFFFF"/>
        </w:rPr>
        <w:t>取管理费。</w:t>
      </w:r>
    </w:p>
    <w:p w14:paraId="1F391B61">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十八</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 国企投资基金应根据投资定位</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合理</w:t>
      </w:r>
      <w:r>
        <w:rPr>
          <w:rFonts w:hint="default" w:ascii="Times New Roman" w:hAnsi="Times New Roman" w:eastAsia="方正仿宋_GBK" w:cs="Times New Roman"/>
          <w:i w:val="0"/>
          <w:iCs w:val="0"/>
          <w:caps w:val="0"/>
          <w:color w:val="0F1115"/>
          <w:spacing w:val="0"/>
          <w:sz w:val="32"/>
          <w:szCs w:val="32"/>
          <w:shd w:val="clear" w:color="auto" w:fill="FFFFFF"/>
        </w:rPr>
        <w:t>确定返投要求</w:t>
      </w:r>
      <w:r>
        <w:rPr>
          <w:rFonts w:hint="eastAsia" w:ascii="Times New Roman" w:hAnsi="Times New Roman" w:eastAsia="方正仿宋_GBK" w:cs="Times New Roman"/>
          <w:i w:val="0"/>
          <w:iCs w:val="0"/>
          <w:caps w:val="0"/>
          <w:color w:val="0F1115"/>
          <w:spacing w:val="0"/>
          <w:sz w:val="32"/>
          <w:szCs w:val="32"/>
          <w:shd w:val="clear" w:color="auto" w:fill="FFFFFF"/>
          <w:lang w:eastAsia="zh-CN"/>
        </w:rPr>
        <w:t>，</w:t>
      </w:r>
      <w:r>
        <w:rPr>
          <w:rFonts w:hint="default" w:ascii="Times New Roman" w:hAnsi="Times New Roman" w:eastAsia="方正仿宋_GBK" w:cs="Times New Roman"/>
          <w:i w:val="0"/>
          <w:iCs w:val="0"/>
          <w:caps w:val="0"/>
          <w:color w:val="0F1115"/>
          <w:spacing w:val="0"/>
          <w:sz w:val="32"/>
          <w:szCs w:val="32"/>
          <w:shd w:val="clear" w:color="auto" w:fill="FFFFFF"/>
        </w:rPr>
        <w:t>返投金额</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原则上</w:t>
      </w:r>
      <w:r>
        <w:rPr>
          <w:rFonts w:hint="default" w:ascii="Times New Roman" w:hAnsi="Times New Roman" w:eastAsia="方正仿宋_GBK" w:cs="Times New Roman"/>
          <w:i w:val="0"/>
          <w:iCs w:val="0"/>
          <w:caps w:val="0"/>
          <w:color w:val="0F1115"/>
          <w:spacing w:val="0"/>
          <w:sz w:val="32"/>
          <w:szCs w:val="32"/>
          <w:shd w:val="clear" w:color="auto" w:fill="FFFFFF"/>
        </w:rPr>
        <w:t>需达到国企投资基金</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投资额</w:t>
      </w:r>
      <w:r>
        <w:rPr>
          <w:rFonts w:hint="default" w:ascii="Times New Roman" w:hAnsi="Times New Roman" w:eastAsia="方正仿宋_GBK" w:cs="Times New Roman"/>
          <w:i w:val="0"/>
          <w:iCs w:val="0"/>
          <w:caps w:val="0"/>
          <w:color w:val="0F1115"/>
          <w:spacing w:val="0"/>
          <w:sz w:val="32"/>
          <w:szCs w:val="32"/>
          <w:shd w:val="clear" w:color="auto" w:fill="FFFFFF"/>
        </w:rPr>
        <w:t>的1.5倍。</w:t>
      </w:r>
    </w:p>
    <w:p w14:paraId="3F3115A8">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p>
    <w:p w14:paraId="4EE28398">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仿宋_GBK" w:cs="Times New Roman"/>
          <w:i w:val="0"/>
          <w:iCs w:val="0"/>
          <w:caps w:val="0"/>
          <w:color w:val="0F1115"/>
          <w:spacing w:val="0"/>
          <w:sz w:val="32"/>
          <w:szCs w:val="32"/>
        </w:rPr>
      </w:pPr>
      <w:r>
        <w:rPr>
          <w:rFonts w:hint="default" w:ascii="方正黑体_GBK" w:hAnsi="方正黑体_GBK" w:eastAsia="方正黑体_GBK" w:cs="方正黑体_GBK"/>
          <w:b w:val="0"/>
          <w:bCs w:val="0"/>
          <w:i w:val="0"/>
          <w:iCs w:val="0"/>
          <w:caps w:val="0"/>
          <w:color w:val="0F1115"/>
          <w:spacing w:val="0"/>
          <w:sz w:val="32"/>
          <w:szCs w:val="32"/>
          <w:shd w:val="clear" w:color="auto" w:fill="FFFFFF"/>
        </w:rPr>
        <w:t>第</w:t>
      </w:r>
      <w:r>
        <w:rPr>
          <w:rFonts w:hint="eastAsia" w:ascii="方正黑体_GBK" w:hAnsi="方正黑体_GBK" w:eastAsia="方正黑体_GBK" w:cs="方正黑体_GBK"/>
          <w:b w:val="0"/>
          <w:bCs w:val="0"/>
          <w:i w:val="0"/>
          <w:iCs w:val="0"/>
          <w:caps w:val="0"/>
          <w:color w:val="0F1115"/>
          <w:spacing w:val="0"/>
          <w:sz w:val="32"/>
          <w:szCs w:val="32"/>
          <w:shd w:val="clear" w:color="auto" w:fill="FFFFFF"/>
          <w:lang w:val="en-US" w:eastAsia="zh-CN"/>
        </w:rPr>
        <w:t>五</w:t>
      </w:r>
      <w:r>
        <w:rPr>
          <w:rFonts w:hint="default" w:ascii="方正黑体_GBK" w:hAnsi="方正黑体_GBK" w:eastAsia="方正黑体_GBK" w:cs="方正黑体_GBK"/>
          <w:b w:val="0"/>
          <w:bCs w:val="0"/>
          <w:i w:val="0"/>
          <w:iCs w:val="0"/>
          <w:caps w:val="0"/>
          <w:color w:val="0F1115"/>
          <w:spacing w:val="0"/>
          <w:sz w:val="32"/>
          <w:szCs w:val="32"/>
          <w:shd w:val="clear" w:color="auto" w:fill="FFFFFF"/>
        </w:rPr>
        <w:t>章 投后管理与退出</w:t>
      </w:r>
    </w:p>
    <w:p w14:paraId="3C24D8A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十九</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rPr>
        <w:t>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区属国有企业与基金管理人共同做好基金的投后管理工作，建立一基金一档案，涵盖项目洽谈、推进、决策、出资、跟踪、退出等环节的完整档案，并实施动态监管。</w:t>
      </w:r>
    </w:p>
    <w:p w14:paraId="4E45CB89">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二十</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 基金所投项目落地</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后</w:t>
      </w:r>
      <w:r>
        <w:rPr>
          <w:rFonts w:hint="default" w:ascii="Times New Roman" w:hAnsi="Times New Roman" w:eastAsia="方正仿宋_GBK" w:cs="Times New Roman"/>
          <w:i w:val="0"/>
          <w:iCs w:val="0"/>
          <w:caps w:val="0"/>
          <w:color w:val="0F1115"/>
          <w:spacing w:val="0"/>
          <w:sz w:val="32"/>
          <w:szCs w:val="32"/>
          <w:shd w:val="clear" w:color="auto" w:fill="FFFFFF"/>
        </w:rPr>
        <w:t>应严格按照投资协议内容加强履约过程管理，定期追踪项目实施、固定资产投资以及日常经营等情况，发现问题及时纠正；国企出资人需督促基金管理人跟踪基金所投资金使用、项目进展（开竣工、投产、经营），每年向区</w:t>
      </w:r>
      <w:r>
        <w:rPr>
          <w:rFonts w:hint="default" w:ascii="Times New Roman" w:hAnsi="Times New Roman" w:eastAsia="方正仿宋_GBK" w:cs="Times New Roman"/>
          <w:i w:val="0"/>
          <w:iCs w:val="0"/>
          <w:caps w:val="0"/>
          <w:color w:val="0F1115"/>
          <w:spacing w:val="0"/>
          <w:sz w:val="32"/>
          <w:szCs w:val="32"/>
          <w:shd w:val="clear" w:color="auto" w:fill="FFFFFF"/>
          <w:lang w:val="en-US"/>
        </w:rPr>
        <w:t>国资委</w:t>
      </w:r>
      <w:r>
        <w:rPr>
          <w:rFonts w:hint="default" w:ascii="Times New Roman" w:hAnsi="Times New Roman" w:eastAsia="方正仿宋_GBK" w:cs="Times New Roman"/>
          <w:i w:val="0"/>
          <w:iCs w:val="0"/>
          <w:caps w:val="0"/>
          <w:color w:val="0F1115"/>
          <w:spacing w:val="0"/>
          <w:sz w:val="32"/>
          <w:szCs w:val="32"/>
          <w:shd w:val="clear" w:color="auto" w:fill="FFFFFF"/>
        </w:rPr>
        <w:t>报送投后报告，建立风险预警机制，及时处置异常情况。</w:t>
      </w:r>
    </w:p>
    <w:p w14:paraId="2C9440FC">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第二十</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一</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ascii="方正仿宋_GBK" w:hAnsi="方正仿宋_GBK" w:eastAsia="方正仿宋_GBK" w:cs="方正仿宋_GBK"/>
          <w:i w:val="0"/>
          <w:iCs w:val="0"/>
          <w:caps w:val="0"/>
          <w:color w:val="333333"/>
          <w:spacing w:val="0"/>
          <w:sz w:val="31"/>
          <w:szCs w:val="31"/>
          <w:shd w:val="clear" w:color="auto" w:fill="FFFFFF"/>
        </w:rPr>
        <w:t>基金管理人应建立基金退出管理制度，制定退出方案。</w:t>
      </w:r>
      <w:r>
        <w:rPr>
          <w:rFonts w:hint="default" w:ascii="Times New Roman" w:hAnsi="Times New Roman" w:eastAsia="方正仿宋_GBK" w:cs="Times New Roman"/>
          <w:i w:val="0"/>
          <w:iCs w:val="0"/>
          <w:caps w:val="0"/>
          <w:color w:val="0F1115"/>
          <w:spacing w:val="0"/>
          <w:sz w:val="32"/>
          <w:szCs w:val="32"/>
          <w:shd w:val="clear" w:color="auto" w:fill="FFFFFF"/>
        </w:rPr>
        <w:t>国企投资基金可采取股权（份额）转让、股东（合伙人）回购及解散清算等方式退出。国有出资从投资基金退出时，应当按照</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协议或章程</w:t>
      </w:r>
      <w:r>
        <w:rPr>
          <w:rFonts w:hint="default" w:ascii="Times New Roman" w:hAnsi="Times New Roman" w:eastAsia="方正仿宋_GBK" w:cs="Times New Roman"/>
          <w:i w:val="0"/>
          <w:iCs w:val="0"/>
          <w:caps w:val="0"/>
          <w:color w:val="0F1115"/>
          <w:spacing w:val="0"/>
          <w:sz w:val="32"/>
          <w:szCs w:val="32"/>
          <w:shd w:val="clear" w:color="auto" w:fill="FFFFFF"/>
        </w:rPr>
        <w:t>约定的条件退出；</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协议或</w:t>
      </w:r>
      <w:r>
        <w:rPr>
          <w:rFonts w:hint="default" w:ascii="Times New Roman" w:hAnsi="Times New Roman" w:eastAsia="方正仿宋_GBK" w:cs="Times New Roman"/>
          <w:i w:val="0"/>
          <w:iCs w:val="0"/>
          <w:caps w:val="0"/>
          <w:color w:val="0F1115"/>
          <w:spacing w:val="0"/>
          <w:sz w:val="32"/>
          <w:szCs w:val="32"/>
          <w:shd w:val="clear" w:color="auto" w:fill="FFFFFF"/>
        </w:rPr>
        <w:t>章程中没有约定的，应依法依规进行评估，采取市场化方式确定转让价格。</w:t>
      </w:r>
    </w:p>
    <w:p w14:paraId="558A8E14">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第二十</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二</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提前退出情形。若基金合伙协议</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或章程</w:t>
      </w:r>
      <w:r>
        <w:rPr>
          <w:rFonts w:hint="default" w:ascii="Times New Roman" w:hAnsi="Times New Roman" w:eastAsia="方正仿宋_GBK" w:cs="Times New Roman"/>
          <w:i w:val="0"/>
          <w:iCs w:val="0"/>
          <w:caps w:val="0"/>
          <w:color w:val="0F1115"/>
          <w:spacing w:val="0"/>
          <w:sz w:val="32"/>
          <w:szCs w:val="32"/>
          <w:shd w:val="clear" w:color="auto" w:fill="FFFFFF"/>
        </w:rPr>
        <w:t>中已有明确退出路径的，</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由</w:t>
      </w:r>
      <w:r>
        <w:rPr>
          <w:rFonts w:hint="default" w:ascii="Times New Roman" w:hAnsi="Times New Roman" w:eastAsia="方正仿宋_GBK" w:cs="Times New Roman"/>
          <w:i w:val="0"/>
          <w:iCs w:val="0"/>
          <w:caps w:val="0"/>
          <w:color w:val="0F1115"/>
          <w:spacing w:val="0"/>
          <w:sz w:val="32"/>
          <w:szCs w:val="32"/>
          <w:shd w:val="clear" w:color="auto" w:fill="FFFFFF"/>
          <w:lang w:val="en-US" w:eastAsia="zh-CN"/>
        </w:rPr>
        <w:t>国企出资人</w:t>
      </w:r>
      <w:r>
        <w:rPr>
          <w:rFonts w:hint="default" w:ascii="Times New Roman" w:hAnsi="Times New Roman" w:eastAsia="方正仿宋_GBK" w:cs="Times New Roman"/>
          <w:i w:val="0"/>
          <w:iCs w:val="0"/>
          <w:caps w:val="0"/>
          <w:color w:val="0F1115"/>
          <w:spacing w:val="0"/>
          <w:sz w:val="32"/>
          <w:szCs w:val="32"/>
          <w:shd w:val="clear" w:color="auto" w:fill="FFFFFF"/>
        </w:rPr>
        <w:t>董事会决策，事后报</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区国资委</w:t>
      </w:r>
      <w:r>
        <w:rPr>
          <w:rFonts w:hint="default" w:ascii="Times New Roman" w:hAnsi="Times New Roman" w:eastAsia="方正仿宋_GBK" w:cs="Times New Roman"/>
          <w:i w:val="0"/>
          <w:iCs w:val="0"/>
          <w:caps w:val="0"/>
          <w:color w:val="0F1115"/>
          <w:spacing w:val="0"/>
          <w:sz w:val="32"/>
          <w:szCs w:val="32"/>
          <w:shd w:val="clear" w:color="auto" w:fill="FFFFFF"/>
        </w:rPr>
        <w:t>备案；无约定或非标准退出方式的，由国企出资人制定退出方</w:t>
      </w:r>
      <w:r>
        <w:rPr>
          <w:rFonts w:hint="default" w:ascii="Times New Roman" w:hAnsi="Times New Roman" w:eastAsia="方正仿宋_GBK" w:cs="Times New Roman"/>
          <w:i w:val="0"/>
          <w:iCs w:val="0"/>
          <w:caps w:val="0"/>
          <w:color w:val="0F1115"/>
          <w:spacing w:val="0"/>
          <w:sz w:val="32"/>
          <w:szCs w:val="32"/>
          <w:shd w:val="clear" w:color="auto" w:fill="FFFFFF"/>
          <w:lang w:val="en-US"/>
        </w:rPr>
        <w:t>并提请区政府</w:t>
      </w:r>
      <w:r>
        <w:rPr>
          <w:rFonts w:hint="default" w:ascii="Times New Roman" w:hAnsi="Times New Roman" w:eastAsia="方正仿宋_GBK" w:cs="Times New Roman"/>
          <w:i w:val="0"/>
          <w:iCs w:val="0"/>
          <w:caps w:val="0"/>
          <w:color w:val="0F1115"/>
          <w:spacing w:val="0"/>
          <w:sz w:val="32"/>
          <w:szCs w:val="32"/>
          <w:shd w:val="clear" w:color="auto" w:fill="FFFFFF"/>
        </w:rPr>
        <w:t>审议</w:t>
      </w:r>
      <w:r>
        <w:rPr>
          <w:rFonts w:hint="default" w:ascii="Times New Roman" w:hAnsi="Times New Roman" w:eastAsia="方正仿宋_GBK" w:cs="Times New Roman"/>
          <w:i w:val="0"/>
          <w:iCs w:val="0"/>
          <w:caps w:val="0"/>
          <w:color w:val="0F1115"/>
          <w:spacing w:val="0"/>
          <w:sz w:val="32"/>
          <w:szCs w:val="32"/>
          <w:shd w:val="clear" w:color="auto" w:fill="FFFFFF"/>
          <w:lang w:val="en-US"/>
        </w:rPr>
        <w:t>通过后</w:t>
      </w:r>
      <w:r>
        <w:rPr>
          <w:rFonts w:hint="default" w:ascii="Times New Roman" w:hAnsi="Times New Roman" w:eastAsia="方正仿宋_GBK" w:cs="Times New Roman"/>
          <w:i w:val="0"/>
          <w:iCs w:val="0"/>
          <w:caps w:val="0"/>
          <w:color w:val="0F1115"/>
          <w:spacing w:val="0"/>
          <w:sz w:val="32"/>
          <w:szCs w:val="32"/>
          <w:shd w:val="clear" w:color="auto" w:fill="FFFFFF"/>
        </w:rPr>
        <w:t>，</w:t>
      </w:r>
      <w:r>
        <w:rPr>
          <w:rFonts w:hint="default" w:ascii="Times New Roman" w:hAnsi="Times New Roman" w:eastAsia="方正仿宋_GBK" w:cs="Times New Roman"/>
          <w:i w:val="0"/>
          <w:iCs w:val="0"/>
          <w:caps w:val="0"/>
          <w:color w:val="0F1115"/>
          <w:spacing w:val="0"/>
          <w:sz w:val="32"/>
          <w:szCs w:val="32"/>
          <w:shd w:val="clear" w:color="auto" w:fill="FFFFFF"/>
          <w:lang w:val="en-US"/>
        </w:rPr>
        <w:t>按程序</w:t>
      </w:r>
      <w:r>
        <w:rPr>
          <w:rFonts w:hint="default" w:ascii="Times New Roman" w:hAnsi="Times New Roman" w:eastAsia="方正仿宋_GBK" w:cs="Times New Roman"/>
          <w:i w:val="0"/>
          <w:iCs w:val="0"/>
          <w:caps w:val="0"/>
          <w:color w:val="0F1115"/>
          <w:spacing w:val="0"/>
          <w:sz w:val="32"/>
          <w:szCs w:val="32"/>
          <w:shd w:val="clear" w:color="auto" w:fill="FFFFFF"/>
        </w:rPr>
        <w:t>实施。</w:t>
      </w:r>
    </w:p>
    <w:p w14:paraId="2922937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第二十</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三</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存续期限。子基金投资项目投资存续期限原则上为5</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0F1115"/>
          <w:spacing w:val="0"/>
          <w:sz w:val="32"/>
          <w:szCs w:val="32"/>
          <w:shd w:val="clear" w:color="auto" w:fill="FFFFFF"/>
        </w:rPr>
        <w:t>7年，存续期限最高一般不超过10年。区属国有企业设立、管理的基金应当严格遵守基金存续期限安排。</w:t>
      </w:r>
    </w:p>
    <w:p w14:paraId="2730392A">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Fonts w:hint="default" w:ascii="Times New Roman" w:hAnsi="Times New Roman" w:eastAsia="方正仿宋_GBK" w:cs="Times New Roman"/>
          <w:i w:val="0"/>
          <w:iCs w:val="0"/>
          <w:caps w:val="0"/>
          <w:color w:val="0F1115"/>
          <w:spacing w:val="0"/>
          <w:sz w:val="32"/>
          <w:szCs w:val="32"/>
          <w:shd w:val="clear" w:color="auto" w:fill="FFFFFF"/>
          <w:lang w:val="en-US"/>
        </w:rPr>
        <w:t>国企投资</w:t>
      </w:r>
      <w:r>
        <w:rPr>
          <w:rFonts w:hint="default" w:ascii="Times New Roman" w:hAnsi="Times New Roman" w:eastAsia="方正仿宋_GBK" w:cs="Times New Roman"/>
          <w:i w:val="0"/>
          <w:iCs w:val="0"/>
          <w:caps w:val="0"/>
          <w:color w:val="0F1115"/>
          <w:spacing w:val="0"/>
          <w:sz w:val="32"/>
          <w:szCs w:val="32"/>
          <w:shd w:val="clear" w:color="auto" w:fill="FFFFFF"/>
        </w:rPr>
        <w:t>基金申请延期的，由</w:t>
      </w:r>
      <w:r>
        <w:rPr>
          <w:rFonts w:hint="default" w:ascii="Times New Roman" w:hAnsi="Times New Roman" w:eastAsia="方正仿宋_GBK" w:cs="Times New Roman"/>
          <w:i w:val="0"/>
          <w:iCs w:val="0"/>
          <w:caps w:val="0"/>
          <w:color w:val="0F1115"/>
          <w:spacing w:val="0"/>
          <w:sz w:val="32"/>
          <w:szCs w:val="32"/>
          <w:shd w:val="clear" w:color="auto" w:fill="FFFFFF"/>
          <w:lang w:val="en-US"/>
        </w:rPr>
        <w:t>出资人履行内部决策程序后，提请区政府研究决定。</w:t>
      </w:r>
    </w:p>
    <w:p w14:paraId="3211FB7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二十四</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ascii="方正仿宋_GBK" w:hAnsi="方正仿宋_GBK" w:eastAsia="方正仿宋_GBK" w:cs="方正仿宋_GBK"/>
          <w:i w:val="0"/>
          <w:iCs w:val="0"/>
          <w:caps w:val="0"/>
          <w:color w:val="333333"/>
          <w:spacing w:val="0"/>
          <w:sz w:val="32"/>
          <w:szCs w:val="32"/>
          <w:shd w:val="clear" w:color="auto" w:fill="FFFFFF"/>
        </w:rPr>
        <w:t>国</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企</w:t>
      </w:r>
      <w:r>
        <w:rPr>
          <w:rFonts w:ascii="方正仿宋_GBK" w:hAnsi="方正仿宋_GBK" w:eastAsia="方正仿宋_GBK" w:cs="方正仿宋_GBK"/>
          <w:i w:val="0"/>
          <w:iCs w:val="0"/>
          <w:caps w:val="0"/>
          <w:color w:val="333333"/>
          <w:spacing w:val="0"/>
          <w:sz w:val="32"/>
          <w:szCs w:val="32"/>
          <w:shd w:val="clear" w:color="auto" w:fill="FFFFFF"/>
        </w:rPr>
        <w:t>投资基金终止后，应当在</w:t>
      </w:r>
      <w:r>
        <w:rPr>
          <w:rFonts w:hint="eastAsia" w:ascii="方正仿宋_GBK" w:hAnsi="方正仿宋_GBK" w:eastAsia="方正仿宋_GBK" w:cs="方正仿宋_GBK"/>
          <w:i w:val="0"/>
          <w:iCs w:val="0"/>
          <w:caps w:val="0"/>
          <w:color w:val="333333"/>
          <w:spacing w:val="0"/>
          <w:sz w:val="32"/>
          <w:szCs w:val="32"/>
          <w:shd w:val="clear" w:color="auto" w:fill="FFFFFF"/>
          <w:lang w:val="en-US" w:eastAsia="zh-CN"/>
        </w:rPr>
        <w:t>国企</w:t>
      </w:r>
      <w:r>
        <w:rPr>
          <w:rFonts w:ascii="方正仿宋_GBK" w:hAnsi="方正仿宋_GBK" w:eastAsia="方正仿宋_GBK" w:cs="方正仿宋_GBK"/>
          <w:i w:val="0"/>
          <w:iCs w:val="0"/>
          <w:caps w:val="0"/>
          <w:color w:val="333333"/>
          <w:spacing w:val="0"/>
          <w:sz w:val="32"/>
          <w:szCs w:val="32"/>
          <w:shd w:val="clear" w:color="auto" w:fill="FFFFFF"/>
        </w:rPr>
        <w:t>出资人监督下组织清算。</w:t>
      </w:r>
    </w:p>
    <w:p w14:paraId="BB9608C2">
      <w:pPr>
        <w:keepNext w:val="0"/>
        <w:keepLines w:val="0"/>
        <w:pageBreakBefore w:val="0"/>
        <w:numPr>
          <w:ilvl w:val="0"/>
          <w:numId w:val="0"/>
        </w:numPr>
        <w:shd w:val="clear" w:color="FFFFFF" w:fill="FFFFFF"/>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b w:val="0"/>
          <w:bCs w:val="0"/>
          <w:i w:val="0"/>
          <w:iCs w:val="0"/>
          <w:caps w:val="0"/>
          <w:color w:val="0F1115"/>
          <w:spacing w:val="0"/>
          <w:sz w:val="32"/>
          <w:szCs w:val="32"/>
          <w:shd w:val="clear" w:color="auto" w:fill="FFFFFF"/>
        </w:rPr>
      </w:pPr>
    </w:p>
    <w:p w14:paraId="40A16429">
      <w:pPr>
        <w:keepNext w:val="0"/>
        <w:keepLines w:val="0"/>
        <w:pageBreakBefore w:val="0"/>
        <w:numPr>
          <w:ilvl w:val="0"/>
          <w:numId w:val="0"/>
        </w:numPr>
        <w:shd w:val="clear" w:color="FFFFFF" w:fill="FFFFFF"/>
        <w:kinsoku/>
        <w:wordWrap/>
        <w:overflowPunct/>
        <w:topLinePunct w:val="0"/>
        <w:autoSpaceDE/>
        <w:autoSpaceDN/>
        <w:bidi w:val="0"/>
        <w:adjustRightInd/>
        <w:snapToGrid/>
        <w:spacing w:line="560" w:lineRule="exact"/>
        <w:jc w:val="both"/>
        <w:textAlignment w:val="auto"/>
        <w:rPr>
          <w:rFonts w:hint="default" w:ascii="方正黑体_GBK" w:hAnsi="方正黑体_GBK" w:cs="方正黑体_GBK"/>
          <w:b w:val="0"/>
          <w:bCs w:val="0"/>
          <w:i w:val="0"/>
          <w:iCs w:val="0"/>
          <w:caps w:val="0"/>
          <w:color w:val="0F1115"/>
          <w:spacing w:val="0"/>
          <w:sz w:val="32"/>
          <w:szCs w:val="32"/>
          <w:shd w:val="clear" w:color="auto" w:fill="FFFFFF"/>
          <w:lang w:val="en-US"/>
        </w:rPr>
      </w:pPr>
      <w:r>
        <w:rPr>
          <w:rFonts w:hint="default" w:hAnsi="方正黑体_GBK" w:cs="方正黑体_GBK"/>
          <w:b w:val="0"/>
          <w:bCs w:val="0"/>
          <w:i w:val="0"/>
          <w:iCs w:val="0"/>
          <w:caps w:val="0"/>
          <w:color w:val="0F1115"/>
          <w:spacing w:val="0"/>
          <w:sz w:val="32"/>
          <w:szCs w:val="32"/>
          <w:shd w:val="clear" w:color="auto" w:fill="FFFFFF"/>
          <w:lang w:val="en-US"/>
        </w:rPr>
        <w:t xml:space="preserve">                  </w:t>
      </w:r>
      <w:r>
        <w:rPr>
          <w:rFonts w:hint="default" w:ascii="方正黑体_GBK" w:hAnsi="方正黑体_GBK" w:eastAsia="方正黑体_GBK" w:cs="方正黑体_GBK"/>
          <w:b w:val="0"/>
          <w:bCs w:val="0"/>
          <w:i w:val="0"/>
          <w:iCs w:val="0"/>
          <w:caps w:val="0"/>
          <w:color w:val="0F1115"/>
          <w:spacing w:val="0"/>
          <w:kern w:val="0"/>
          <w:sz w:val="32"/>
          <w:szCs w:val="32"/>
          <w:shd w:val="clear" w:color="auto" w:fill="FFFFFF"/>
          <w:lang w:val="en-US" w:eastAsia="zh-CN" w:bidi="ar-SA"/>
        </w:rPr>
        <w:t>第六章  风险防控</w:t>
      </w:r>
    </w:p>
    <w:p w14:paraId="44F62B9A">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lang w:val="en-US"/>
        </w:rPr>
        <w:t>第二十</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五</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lang w:val="en-US"/>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方正仿宋_GBK" w:hAnsi="方正仿宋_GBK" w:eastAsia="方正仿宋_GBK" w:cs="方正仿宋_GBK"/>
          <w:i w:val="0"/>
          <w:iCs w:val="0"/>
          <w:caps w:val="0"/>
          <w:color w:val="333333"/>
          <w:spacing w:val="0"/>
          <w:sz w:val="31"/>
          <w:szCs w:val="31"/>
          <w:shd w:val="clear" w:color="auto" w:fill="FFFFFF"/>
          <w:lang w:val="en-US"/>
        </w:rPr>
        <w:t>风险控制的主要措施包括：</w:t>
      </w:r>
    </w:p>
    <w:p w14:paraId="3A17BB0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val="en-US"/>
        </w:rPr>
      </w:pPr>
      <w:r>
        <w:rPr>
          <w:rFonts w:hint="default" w:ascii="Times New Roman" w:hAnsi="Times New Roman" w:eastAsia="方正仿宋_GBK" w:cs="Times New Roman"/>
          <w:i w:val="0"/>
          <w:iCs w:val="0"/>
          <w:caps w:val="0"/>
          <w:color w:val="0F1115"/>
          <w:spacing w:val="0"/>
          <w:sz w:val="32"/>
          <w:szCs w:val="32"/>
          <w:shd w:val="clear" w:color="auto" w:fill="FFFFFF"/>
          <w:lang w:val="en-US"/>
        </w:rPr>
        <w:t>（一）投前风险防控。严格项目筛选标准，开展充分的尽职调查和风险评估，对不符合投资方向或存在重大风险的项目不予立项和投资。</w:t>
      </w:r>
    </w:p>
    <w:p w14:paraId="3032BB6D">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val="en-US"/>
        </w:rPr>
      </w:pPr>
      <w:r>
        <w:rPr>
          <w:rFonts w:hint="default" w:ascii="Times New Roman" w:hAnsi="Times New Roman" w:eastAsia="方正仿宋_GBK" w:cs="Times New Roman"/>
          <w:i w:val="0"/>
          <w:iCs w:val="0"/>
          <w:caps w:val="0"/>
          <w:color w:val="0F1115"/>
          <w:spacing w:val="0"/>
          <w:sz w:val="32"/>
          <w:szCs w:val="32"/>
          <w:shd w:val="clear" w:color="auto" w:fill="FFFFFF"/>
          <w:lang w:val="en-US"/>
        </w:rPr>
        <w:t>（二）投中风险管控。完善投资决策程序，强化投资协议的风险约束条款设计，明确对赌、回购、优先清算等风险控制安排。</w:t>
      </w:r>
    </w:p>
    <w:p w14:paraId="482A7657">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Fonts w:hint="default" w:ascii="Times New Roman" w:hAnsi="Times New Roman" w:eastAsia="方正仿宋_GBK" w:cs="Times New Roman"/>
          <w:i w:val="0"/>
          <w:iCs w:val="0"/>
          <w:caps w:val="0"/>
          <w:color w:val="0F1115"/>
          <w:spacing w:val="0"/>
          <w:sz w:val="32"/>
          <w:szCs w:val="32"/>
          <w:shd w:val="clear" w:color="auto" w:fill="FFFFFF"/>
          <w:lang w:val="en-US"/>
        </w:rPr>
        <w:t>（三）投后风险管理。建立投后管理制度，定期跟踪被投企业经营状况和财务状况，及时识别和处置风险。重大风险事项应立即向国企出资人报告。</w:t>
      </w:r>
    </w:p>
    <w:p w14:paraId="7789E081">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Fonts w:hint="default" w:ascii="Times New Roman" w:hAnsi="Times New Roman" w:eastAsia="方正仿宋_GBK" w:cs="Times New Roman"/>
          <w:i w:val="0"/>
          <w:iCs w:val="0"/>
          <w:caps w:val="0"/>
          <w:color w:val="0F1115"/>
          <w:spacing w:val="0"/>
          <w:sz w:val="32"/>
          <w:szCs w:val="32"/>
          <w:shd w:val="clear" w:color="auto" w:fill="FFFFFF"/>
          <w:lang w:val="en-US"/>
        </w:rPr>
        <w:t>（四）关联交易管理。基金管理人应建立健全关联交易管理制度，不得以基金财产与关联方进行不正当交易或利益输送。</w:t>
      </w:r>
    </w:p>
    <w:p w14:paraId="B51EC91E">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lang w:val="en-US"/>
        </w:rPr>
      </w:pPr>
      <w:r>
        <w:rPr>
          <w:rFonts w:hint="default" w:ascii="Times New Roman" w:hAnsi="Times New Roman" w:eastAsia="方正仿宋_GBK" w:cs="Times New Roman"/>
          <w:i w:val="0"/>
          <w:iCs w:val="0"/>
          <w:caps w:val="0"/>
          <w:color w:val="0F1115"/>
          <w:spacing w:val="0"/>
          <w:sz w:val="32"/>
          <w:szCs w:val="32"/>
          <w:shd w:val="clear" w:color="auto" w:fill="FFFFFF"/>
          <w:lang w:val="en-US"/>
        </w:rPr>
        <w:t xml:space="preserve">（五）资产托管。基金财产应委托具有托管资质的金融机构进行托管，确保基金资产安全。      </w:t>
      </w:r>
    </w:p>
    <w:p w14:paraId="E8416D79">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Fonts w:hint="default" w:ascii="Times New Roman" w:hAnsi="Times New Roman" w:eastAsia="方正仿宋_GBK" w:cs="Times New Roman"/>
          <w:i w:val="0"/>
          <w:iCs w:val="0"/>
          <w:caps w:val="0"/>
          <w:color w:val="0F1115"/>
          <w:spacing w:val="0"/>
          <w:sz w:val="32"/>
          <w:szCs w:val="32"/>
          <w:shd w:val="clear" w:color="auto" w:fill="FFFFFF"/>
          <w:lang w:val="en-US"/>
        </w:rPr>
        <w:t>（六）加强教育管理。投资基金从业人员应当严格遵守法律法规和职业道德规范，加强廉洁从业教育和管理，防范利益输送和利益冲突。</w:t>
      </w:r>
    </w:p>
    <w:p w14:paraId="B15DC8E7">
      <w:pPr>
        <w:keepNext w:val="0"/>
        <w:keepLines w:val="0"/>
        <w:pageBreakBefore w:val="0"/>
        <w:numPr>
          <w:ilvl w:val="0"/>
          <w:numId w:val="0"/>
        </w:numPr>
        <w:shd w:val="clear" w:color="FFFFFF" w:fill="FFFFFF"/>
        <w:kinsoku/>
        <w:wordWrap/>
        <w:overflowPunct/>
        <w:topLinePunct w:val="0"/>
        <w:autoSpaceDE/>
        <w:autoSpaceDN/>
        <w:bidi w:val="0"/>
        <w:adjustRightInd/>
        <w:snapToGrid/>
        <w:spacing w:line="560" w:lineRule="exact"/>
        <w:ind w:firstLineChars="200"/>
        <w:jc w:val="both"/>
        <w:textAlignment w:val="auto"/>
      </w:pPr>
      <w:r>
        <w:rPr>
          <w:rStyle w:val="11"/>
          <w:rFonts w:hint="default" w:ascii="方正楷体_GBK" w:hAnsi="方正楷体_GBK" w:eastAsia="方正楷体_GBK" w:cs="方正楷体_GBK"/>
          <w:b w:val="0"/>
          <w:bCs w:val="0"/>
          <w:i w:val="0"/>
          <w:iCs w:val="0"/>
          <w:caps w:val="0"/>
          <w:color w:val="0F1115"/>
          <w:spacing w:val="0"/>
          <w:kern w:val="0"/>
          <w:sz w:val="32"/>
          <w:szCs w:val="32"/>
          <w:highlight w:val="none"/>
          <w:shd w:val="clear" w:color="FFFFFF" w:fill="FFFFFF"/>
          <w:vertAlign w:val="baseline"/>
          <w:lang w:val="en-US" w:eastAsia="zh-CN" w:bidi="ar-SA"/>
        </w:rPr>
        <w:t>第二十</w:t>
      </w:r>
      <w:r>
        <w:rPr>
          <w:rStyle w:val="11"/>
          <w:rFonts w:hint="eastAsia" w:ascii="方正楷体_GBK" w:hAnsi="方正楷体_GBK" w:eastAsia="方正楷体_GBK" w:cs="方正楷体_GBK"/>
          <w:b w:val="0"/>
          <w:bCs w:val="0"/>
          <w:i w:val="0"/>
          <w:iCs w:val="0"/>
          <w:caps w:val="0"/>
          <w:color w:val="0F1115"/>
          <w:spacing w:val="0"/>
          <w:kern w:val="0"/>
          <w:sz w:val="32"/>
          <w:szCs w:val="32"/>
          <w:highlight w:val="none"/>
          <w:shd w:val="clear" w:color="FFFFFF" w:fill="FFFFFF"/>
          <w:vertAlign w:val="baseline"/>
          <w:lang w:val="en-US" w:eastAsia="zh-CN" w:bidi="ar-SA"/>
        </w:rPr>
        <w:t>六</w:t>
      </w:r>
      <w:r>
        <w:rPr>
          <w:rStyle w:val="11"/>
          <w:rFonts w:hint="default" w:ascii="方正楷体_GBK" w:hAnsi="方正楷体_GBK" w:eastAsia="方正楷体_GBK" w:cs="方正楷体_GBK"/>
          <w:b w:val="0"/>
          <w:bCs w:val="0"/>
          <w:i w:val="0"/>
          <w:iCs w:val="0"/>
          <w:caps w:val="0"/>
          <w:color w:val="0F1115"/>
          <w:spacing w:val="0"/>
          <w:kern w:val="0"/>
          <w:sz w:val="32"/>
          <w:szCs w:val="32"/>
          <w:highlight w:val="none"/>
          <w:shd w:val="clear" w:color="FFFFFF" w:fill="FFFFFF"/>
          <w:vertAlign w:val="baseline"/>
          <w:lang w:val="en-US" w:eastAsia="zh-CN" w:bidi="ar-SA"/>
        </w:rPr>
        <w:t>条</w:t>
      </w:r>
      <w:r>
        <w:rPr>
          <w:rFonts w:hint="default" w:ascii="Times New Roman" w:hAnsi="Times New Roman" w:eastAsia="方正仿宋_GBK" w:cs="Times New Roman"/>
          <w:b w:val="0"/>
          <w:bCs w:val="0"/>
          <w:i w:val="0"/>
          <w:iCs w:val="0"/>
          <w:caps w:val="0"/>
          <w:color w:val="0F1115"/>
          <w:spacing w:val="0"/>
          <w:kern w:val="0"/>
          <w:sz w:val="32"/>
          <w:szCs w:val="32"/>
          <w:highlight w:val="none"/>
          <w:shd w:val="clear" w:color="FFFFFF" w:fill="FFFFFF"/>
          <w:vertAlign w:val="baseline"/>
          <w:lang w:val="en-US" w:eastAsia="zh-CN" w:bidi="ar-SA"/>
        </w:rPr>
        <w:t xml:space="preserve">  国企投资基金应当严格按照基金章程或合伙协议约定开展投资，不得开展</w:t>
      </w:r>
      <w:r>
        <w:rPr>
          <w:rFonts w:hint="eastAsia" w:ascii="Times New Roman" w:hAnsi="Times New Roman" w:eastAsia="方正仿宋_GBK" w:cs="Times New Roman"/>
          <w:b w:val="0"/>
          <w:bCs w:val="0"/>
          <w:i w:val="0"/>
          <w:iCs w:val="0"/>
          <w:caps w:val="0"/>
          <w:color w:val="0F1115"/>
          <w:spacing w:val="0"/>
          <w:kern w:val="0"/>
          <w:sz w:val="32"/>
          <w:szCs w:val="32"/>
          <w:highlight w:val="none"/>
          <w:shd w:val="clear" w:color="FFFFFF" w:fill="FFFFFF"/>
          <w:vertAlign w:val="baseline"/>
          <w:lang w:val="en-US" w:eastAsia="zh-CN" w:bidi="ar-SA"/>
        </w:rPr>
        <w:t>抵押融资、委托贷款、对外借贷</w:t>
      </w:r>
      <w:r>
        <w:rPr>
          <w:rFonts w:hint="default" w:ascii="Times New Roman" w:hAnsi="Times New Roman" w:eastAsia="方正仿宋_GBK" w:cs="Times New Roman"/>
          <w:b w:val="0"/>
          <w:bCs w:val="0"/>
          <w:i w:val="0"/>
          <w:iCs w:val="0"/>
          <w:caps w:val="0"/>
          <w:color w:val="0F1115"/>
          <w:spacing w:val="0"/>
          <w:kern w:val="0"/>
          <w:sz w:val="32"/>
          <w:szCs w:val="32"/>
          <w:highlight w:val="none"/>
          <w:shd w:val="clear" w:color="FFFFFF" w:fill="FFFFFF"/>
          <w:vertAlign w:val="baseline"/>
          <w:lang w:val="en-US" w:eastAsia="zh-CN" w:bidi="ar-SA"/>
        </w:rPr>
        <w:t>，不得投向区属国有企业投资项目负面清单规定的禁止类业务，不得投向</w:t>
      </w:r>
      <w:r>
        <w:rPr>
          <w:rFonts w:hint="default" w:ascii="Times New Roman" w:hAnsi="Times New Roman" w:eastAsia="方正仿宋_GBK" w:cs="Times New Roman"/>
          <w:b w:val="0"/>
          <w:bCs w:val="0"/>
          <w:i w:val="0"/>
          <w:iCs w:val="0"/>
          <w:color w:val="auto"/>
          <w:kern w:val="0"/>
          <w:sz w:val="32"/>
          <w:szCs w:val="40"/>
          <w:highlight w:val="none"/>
          <w:vertAlign w:val="baseline"/>
          <w:lang w:val="en-US" w:eastAsia="zh-CN" w:bidi="ar-SA"/>
        </w:rPr>
        <w:t>二级市场股票、期货、房地产、证券投资基金、信托产品、</w:t>
      </w:r>
      <w:r>
        <w:rPr>
          <w:rFonts w:hint="eastAsia" w:ascii="Times New Roman" w:hAnsi="Times New Roman" w:eastAsia="方正仿宋_GBK" w:cs="Times New Roman"/>
          <w:b w:val="0"/>
          <w:bCs w:val="0"/>
          <w:i w:val="0"/>
          <w:iCs w:val="0"/>
          <w:color w:val="auto"/>
          <w:kern w:val="0"/>
          <w:sz w:val="32"/>
          <w:szCs w:val="40"/>
          <w:highlight w:val="none"/>
          <w:vertAlign w:val="baseline"/>
          <w:lang w:val="en-US" w:eastAsia="zh-CN" w:bidi="ar-SA"/>
        </w:rPr>
        <w:t>保险计划、企业债券</w:t>
      </w:r>
      <w:r>
        <w:rPr>
          <w:rFonts w:hint="default" w:ascii="Times New Roman" w:hAnsi="Times New Roman" w:eastAsia="方正仿宋_GBK" w:cs="Times New Roman"/>
          <w:b w:val="0"/>
          <w:bCs w:val="0"/>
          <w:i w:val="0"/>
          <w:iCs w:val="0"/>
          <w:color w:val="auto"/>
          <w:kern w:val="0"/>
          <w:sz w:val="32"/>
          <w:szCs w:val="40"/>
          <w:highlight w:val="none"/>
          <w:vertAlign w:val="baseline"/>
          <w:lang w:val="en-US" w:eastAsia="zh-CN" w:bidi="ar-SA"/>
        </w:rPr>
        <w:t>及其他金融衍生品</w:t>
      </w:r>
      <w:r>
        <w:rPr>
          <w:rFonts w:hint="eastAsia" w:ascii="Times New Roman" w:hAnsi="Times New Roman" w:eastAsia="方正仿宋_GBK" w:cs="Times New Roman"/>
          <w:b w:val="0"/>
          <w:bCs w:val="0"/>
          <w:i w:val="0"/>
          <w:iCs w:val="0"/>
          <w:color w:val="auto"/>
          <w:kern w:val="0"/>
          <w:sz w:val="32"/>
          <w:szCs w:val="40"/>
          <w:highlight w:val="none"/>
          <w:vertAlign w:val="baseline"/>
          <w:lang w:val="en-US" w:eastAsia="zh-CN" w:bidi="ar-SA"/>
        </w:rPr>
        <w:t>。</w:t>
      </w:r>
    </w:p>
    <w:p w14:paraId="183FE2F4">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Chars="200"/>
        <w:jc w:val="center"/>
        <w:textAlignment w:val="auto"/>
        <w:rPr>
          <w:rFonts w:hint="default" w:ascii="Times New Roman" w:hAnsi="Times New Roman" w:eastAsia="方正仿宋_GBK" w:cs="Times New Roman"/>
          <w:b w:val="0"/>
          <w:bCs w:val="0"/>
          <w:i w:val="0"/>
          <w:iCs w:val="0"/>
          <w:caps w:val="0"/>
          <w:color w:val="0F1115"/>
          <w:spacing w:val="0"/>
          <w:kern w:val="0"/>
          <w:sz w:val="32"/>
          <w:szCs w:val="32"/>
          <w:highlight w:val="none"/>
          <w:shd w:val="clear" w:color="FFFFFF" w:fill="FFFFFF"/>
          <w:vertAlign w:val="baseline"/>
          <w:lang w:val="en-US" w:eastAsia="zh-CN" w:bidi="ar-SA"/>
        </w:rPr>
      </w:pPr>
      <w:r>
        <w:rPr>
          <w:rStyle w:val="11"/>
          <w:rFonts w:hint="default" w:ascii="方正楷体_GBK" w:hAnsi="方正楷体_GBK" w:eastAsia="方正楷体_GBK" w:cs="方正楷体_GBK"/>
          <w:b w:val="0"/>
          <w:bCs w:val="0"/>
          <w:i w:val="0"/>
          <w:iCs w:val="0"/>
          <w:caps w:val="0"/>
          <w:color w:val="0F1115"/>
          <w:spacing w:val="0"/>
          <w:kern w:val="0"/>
          <w:sz w:val="32"/>
          <w:szCs w:val="32"/>
          <w:highlight w:val="none"/>
          <w:shd w:val="clear" w:color="FFFFFF" w:fill="FFFFFF"/>
          <w:vertAlign w:val="baseline"/>
          <w:lang w:val="en-US" w:eastAsia="zh-CN" w:bidi="ar-SA"/>
        </w:rPr>
        <w:t>第二十</w:t>
      </w:r>
      <w:r>
        <w:rPr>
          <w:rStyle w:val="11"/>
          <w:rFonts w:hint="eastAsia" w:ascii="方正楷体_GBK" w:hAnsi="方正楷体_GBK" w:eastAsia="方正楷体_GBK" w:cs="方正楷体_GBK"/>
          <w:b w:val="0"/>
          <w:bCs w:val="0"/>
          <w:i w:val="0"/>
          <w:iCs w:val="0"/>
          <w:caps w:val="0"/>
          <w:color w:val="0F1115"/>
          <w:spacing w:val="0"/>
          <w:kern w:val="0"/>
          <w:sz w:val="32"/>
          <w:szCs w:val="32"/>
          <w:highlight w:val="none"/>
          <w:shd w:val="clear" w:color="FFFFFF" w:fill="FFFFFF"/>
          <w:vertAlign w:val="baseline"/>
          <w:lang w:val="en-US" w:eastAsia="zh-CN" w:bidi="ar-SA"/>
        </w:rPr>
        <w:t>七</w:t>
      </w:r>
      <w:r>
        <w:rPr>
          <w:rStyle w:val="11"/>
          <w:rFonts w:hint="default" w:ascii="方正楷体_GBK" w:hAnsi="方正楷体_GBK" w:eastAsia="方正楷体_GBK" w:cs="方正楷体_GBK"/>
          <w:b w:val="0"/>
          <w:bCs w:val="0"/>
          <w:i w:val="0"/>
          <w:iCs w:val="0"/>
          <w:caps w:val="0"/>
          <w:color w:val="0F1115"/>
          <w:spacing w:val="0"/>
          <w:kern w:val="0"/>
          <w:sz w:val="32"/>
          <w:szCs w:val="32"/>
          <w:highlight w:val="none"/>
          <w:shd w:val="clear" w:color="FFFFFF" w:fill="FFFFFF"/>
          <w:vertAlign w:val="baseline"/>
          <w:lang w:val="en-US" w:eastAsia="zh-CN" w:bidi="ar-SA"/>
        </w:rPr>
        <w:t>条</w:t>
      </w:r>
      <w:r>
        <w:rPr>
          <w:rFonts w:hint="default" w:ascii="Times New Roman" w:hAnsi="Times New Roman" w:eastAsia="方正仿宋_GBK" w:cs="Times New Roman"/>
          <w:b w:val="0"/>
          <w:bCs w:val="0"/>
          <w:i w:val="0"/>
          <w:iCs w:val="0"/>
          <w:caps w:val="0"/>
          <w:color w:val="0F1115"/>
          <w:spacing w:val="0"/>
          <w:kern w:val="0"/>
          <w:sz w:val="32"/>
          <w:szCs w:val="32"/>
          <w:highlight w:val="none"/>
          <w:shd w:val="clear" w:color="FFFFFF" w:fill="FFFFFF"/>
          <w:vertAlign w:val="baseline"/>
          <w:lang w:val="en-US" w:eastAsia="zh-CN" w:bidi="ar-SA"/>
        </w:rPr>
        <w:t xml:space="preserve">  区属国有企业需与其他出资方实现同步出资或最后出资，实缴比例根据项目实际进度执行。其他出资方未按约定实缴出资的，区属国有企业有权中止后续出资，并按合伙协</w:t>
      </w:r>
    </w:p>
    <w:p w14:paraId="6F2E8A50">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仿宋_GBK" w:cs="Times New Roman"/>
          <w:i w:val="0"/>
          <w:iCs w:val="0"/>
          <w:caps w:val="0"/>
          <w:color w:val="0F1115"/>
          <w:spacing w:val="0"/>
          <w:sz w:val="32"/>
          <w:szCs w:val="32"/>
        </w:rPr>
      </w:pPr>
      <w:r>
        <w:rPr>
          <w:rFonts w:hint="default" w:ascii="Times New Roman" w:hAnsi="Times New Roman" w:eastAsia="方正仿宋_GBK" w:cs="Times New Roman"/>
          <w:b w:val="0"/>
          <w:bCs w:val="0"/>
          <w:i w:val="0"/>
          <w:iCs w:val="0"/>
          <w:caps w:val="0"/>
          <w:color w:val="0F1115"/>
          <w:spacing w:val="0"/>
          <w:kern w:val="0"/>
          <w:sz w:val="32"/>
          <w:szCs w:val="32"/>
          <w:highlight w:val="none"/>
          <w:shd w:val="clear" w:color="FFFFFF" w:fill="FFFFFF"/>
          <w:vertAlign w:val="baseline"/>
          <w:lang w:val="en-US" w:eastAsia="zh-CN" w:bidi="ar-SA"/>
        </w:rPr>
        <w:t>议约定启动违约处置程序。</w:t>
      </w:r>
    </w:p>
    <w:p w14:paraId="75C8D512">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二十八</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 严禁区属国有企业承诺回购其他出资人份额或提供担保，基金亏损由各出资人按出资比例共同承担（区属国企以出资额为限承担有限责任）。</w:t>
      </w:r>
    </w:p>
    <w:p w14:paraId="74D367EA">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pPr>
    </w:p>
    <w:p w14:paraId="FA7C85FE">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pPr>
      <w:r>
        <w:rPr>
          <w:rStyle w:val="11"/>
          <w:rFonts w:hint="eastAsia" w:ascii="方正黑体_GBK" w:hAnsi="方正黑体_GBK" w:eastAsia="方正黑体_GBK" w:cs="方正黑体_GBK"/>
          <w:b w:val="0"/>
          <w:bCs w:val="0"/>
          <w:i w:val="0"/>
          <w:iCs w:val="0"/>
          <w:caps w:val="0"/>
          <w:color w:val="0F1115"/>
          <w:spacing w:val="0"/>
          <w:sz w:val="32"/>
          <w:szCs w:val="32"/>
          <w:shd w:val="clear" w:color="auto" w:fill="FFFFFF"/>
          <w:lang w:val="en-US"/>
        </w:rPr>
        <w:t>第七章  考核评价</w:t>
      </w:r>
    </w:p>
    <w:p w14:paraId="14DBD007">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二十九</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 </w:t>
      </w:r>
      <w:r>
        <w:rPr>
          <w:rStyle w:val="11"/>
          <w:rFonts w:hint="eastAsia" w:ascii="Times New Roman" w:hAnsi="Times New Roman" w:eastAsia="方正仿宋_GBK" w:cs="Times New Roman"/>
          <w:b w:val="0"/>
          <w:bCs w:val="0"/>
          <w:i w:val="0"/>
          <w:iCs w:val="0"/>
          <w:caps w:val="0"/>
          <w:color w:val="0F1115"/>
          <w:spacing w:val="0"/>
          <w:sz w:val="32"/>
          <w:szCs w:val="32"/>
          <w:shd w:val="clear" w:color="auto" w:fill="FFFFFF"/>
          <w:lang w:val="en-US" w:eastAsia="zh-CN"/>
        </w:rPr>
        <w:t xml:space="preserve">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基金管理人的考核评价按照“一基金一细则”的原则，在基金设立时，由国企出资人与合作方协商制定</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w:t>
      </w:r>
      <w:r>
        <w:rPr>
          <w:rStyle w:val="11"/>
          <w:rFonts w:hint="eastAsia" w:ascii="Times New Roman" w:hAnsi="Times New Roman" w:eastAsia="方正仿宋_GBK" w:cs="Times New Roman"/>
          <w:b w:val="0"/>
          <w:bCs w:val="0"/>
          <w:i w:val="0"/>
          <w:iCs w:val="0"/>
          <w:caps w:val="0"/>
          <w:color w:val="0F1115"/>
          <w:spacing w:val="0"/>
          <w:sz w:val="32"/>
          <w:szCs w:val="32"/>
          <w:shd w:val="clear" w:color="auto" w:fill="FFFFFF"/>
          <w:lang w:val="en-US" w:eastAsia="zh-CN"/>
        </w:rPr>
        <w:t>区属国有企业应</w:t>
      </w:r>
      <w:r>
        <w:rPr>
          <w:rFonts w:hint="default" w:ascii="Times New Roman" w:hAnsi="Times New Roman" w:eastAsia="方正仿宋_GBK" w:cs="Times New Roman"/>
          <w:i w:val="0"/>
          <w:iCs w:val="0"/>
          <w:caps w:val="0"/>
          <w:color w:val="0F1115"/>
          <w:spacing w:val="0"/>
          <w:sz w:val="32"/>
          <w:szCs w:val="32"/>
          <w:shd w:val="clear" w:color="auto" w:fill="FFFFFF"/>
        </w:rPr>
        <w:t>根据</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投资项目类型</w:t>
      </w:r>
      <w:r>
        <w:rPr>
          <w:rFonts w:hint="default" w:ascii="Times New Roman" w:hAnsi="Times New Roman" w:eastAsia="方正仿宋_GBK" w:cs="Times New Roman"/>
          <w:i w:val="0"/>
          <w:iCs w:val="0"/>
          <w:caps w:val="0"/>
          <w:color w:val="0F1115"/>
          <w:spacing w:val="0"/>
          <w:sz w:val="32"/>
          <w:szCs w:val="32"/>
          <w:shd w:val="clear" w:color="auto" w:fill="FFFFFF"/>
        </w:rPr>
        <w:t>，</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对基金管理人</w:t>
      </w:r>
      <w:r>
        <w:rPr>
          <w:rFonts w:hint="default" w:ascii="Times New Roman" w:hAnsi="Times New Roman" w:eastAsia="方正仿宋_GBK" w:cs="Times New Roman"/>
          <w:i w:val="0"/>
          <w:iCs w:val="0"/>
          <w:caps w:val="0"/>
          <w:color w:val="0F1115"/>
          <w:spacing w:val="0"/>
          <w:sz w:val="32"/>
          <w:szCs w:val="32"/>
          <w:shd w:val="clear" w:color="auto" w:fill="FFFFFF"/>
        </w:rPr>
        <w:t>实行差异化</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考核</w:t>
      </w:r>
      <w:r>
        <w:rPr>
          <w:rFonts w:hint="default" w:ascii="Times New Roman" w:hAnsi="Times New Roman" w:eastAsia="方正仿宋_GBK" w:cs="Times New Roman"/>
          <w:i w:val="0"/>
          <w:iCs w:val="0"/>
          <w:caps w:val="0"/>
          <w:color w:val="0F1115"/>
          <w:spacing w:val="0"/>
          <w:sz w:val="32"/>
          <w:szCs w:val="32"/>
          <w:shd w:val="clear" w:color="auto" w:fill="FFFFFF"/>
        </w:rPr>
        <w:t>评价</w:t>
      </w:r>
      <w:r>
        <w:rPr>
          <w:rFonts w:hint="eastAsia" w:ascii="Times New Roman" w:hAnsi="Times New Roman" w:eastAsia="方正仿宋_GBK" w:cs="Times New Roman"/>
          <w:i w:val="0"/>
          <w:iCs w:val="0"/>
          <w:caps w:val="0"/>
          <w:color w:val="0F1115"/>
          <w:spacing w:val="0"/>
          <w:sz w:val="32"/>
          <w:szCs w:val="32"/>
          <w:shd w:val="clear" w:color="auto" w:fill="FFFFFF"/>
          <w:lang w:eastAsia="zh-CN"/>
        </w:rPr>
        <w:t>，</w:t>
      </w:r>
      <w:r>
        <w:rPr>
          <w:rStyle w:val="11"/>
          <w:rFonts w:hint="eastAsia" w:ascii="Times New Roman" w:hAnsi="Times New Roman" w:eastAsia="方正仿宋_GBK" w:cs="Times New Roman"/>
          <w:b w:val="0"/>
          <w:bCs w:val="0"/>
          <w:i w:val="0"/>
          <w:iCs w:val="0"/>
          <w:caps w:val="0"/>
          <w:color w:val="0F1115"/>
          <w:spacing w:val="0"/>
          <w:sz w:val="32"/>
          <w:szCs w:val="32"/>
          <w:shd w:val="clear" w:color="auto" w:fill="FFFFFF"/>
          <w:lang w:val="en-US" w:eastAsia="zh-CN"/>
        </w:rPr>
        <w:t>考核评价结果与</w:t>
      </w: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基金管理</w:t>
      </w:r>
      <w:r>
        <w:rPr>
          <w:rStyle w:val="11"/>
          <w:rFonts w:hint="eastAsia" w:ascii="Times New Roman" w:hAnsi="Times New Roman" w:eastAsia="方正仿宋_GBK" w:cs="Times New Roman"/>
          <w:b w:val="0"/>
          <w:bCs w:val="0"/>
          <w:i w:val="0"/>
          <w:iCs w:val="0"/>
          <w:caps w:val="0"/>
          <w:color w:val="0F1115"/>
          <w:spacing w:val="0"/>
          <w:sz w:val="32"/>
          <w:szCs w:val="32"/>
          <w:shd w:val="clear" w:color="auto" w:fill="FFFFFF"/>
          <w:lang w:val="en-US" w:eastAsia="zh-CN"/>
        </w:rPr>
        <w:t>服务费挂钩</w:t>
      </w: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w:t>
      </w:r>
    </w:p>
    <w:p w14:paraId="76C1E6A5">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default" w:ascii="Times New Roman" w:hAnsi="Times New Roman" w:eastAsia="方正仿宋_GBK" w:cs="Times New Roman"/>
          <w:b w:val="0"/>
          <w:bCs w:val="0"/>
          <w:i w:val="0"/>
          <w:iCs w:val="0"/>
          <w:caps w:val="0"/>
          <w:color w:val="0F1115"/>
          <w:spacing w:val="0"/>
          <w:sz w:val="32"/>
          <w:szCs w:val="32"/>
          <w:shd w:val="clear" w:color="auto" w:fill="FFFFFF"/>
          <w:lang w:val="en-US" w:eastAsia="zh-CN"/>
        </w:rPr>
      </w:pP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（一）考核</w:t>
      </w:r>
      <w:r>
        <w:rPr>
          <w:rStyle w:val="11"/>
          <w:rFonts w:hint="eastAsia" w:ascii="Times New Roman" w:hAnsi="Times New Roman" w:eastAsia="方正仿宋_GBK" w:cs="Times New Roman"/>
          <w:b w:val="0"/>
          <w:bCs w:val="0"/>
          <w:i w:val="0"/>
          <w:iCs w:val="0"/>
          <w:caps w:val="0"/>
          <w:color w:val="0F1115"/>
          <w:spacing w:val="0"/>
          <w:sz w:val="32"/>
          <w:szCs w:val="32"/>
          <w:shd w:val="clear" w:color="auto" w:fill="FFFFFF"/>
          <w:lang w:val="en-US" w:eastAsia="zh-CN"/>
        </w:rPr>
        <w:t>细则</w:t>
      </w: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基金设立</w:t>
      </w:r>
      <w:r>
        <w:rPr>
          <w:rFonts w:hint="default" w:ascii="Times New Roman" w:hAnsi="Times New Roman" w:eastAsia="方正仿宋_GBK" w:cs="Times New Roman"/>
          <w:i w:val="0"/>
          <w:iCs w:val="0"/>
          <w:caps w:val="0"/>
          <w:color w:val="0F1115"/>
          <w:spacing w:val="0"/>
          <w:sz w:val="32"/>
          <w:szCs w:val="32"/>
          <w:shd w:val="clear" w:color="auto" w:fill="FFFFFF"/>
          <w:lang w:val="en-US" w:eastAsia="zh-CN"/>
        </w:rPr>
        <w:t>时</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，国有</w:t>
      </w:r>
      <w:r>
        <w:rPr>
          <w:rFonts w:hint="default" w:ascii="Times New Roman" w:hAnsi="Times New Roman" w:eastAsia="方正仿宋_GBK" w:cs="Times New Roman"/>
          <w:i w:val="0"/>
          <w:iCs w:val="0"/>
          <w:caps w:val="0"/>
          <w:color w:val="0F1115"/>
          <w:spacing w:val="0"/>
          <w:sz w:val="32"/>
          <w:szCs w:val="32"/>
          <w:shd w:val="clear" w:color="auto" w:fill="FFFFFF"/>
          <w:lang w:val="en-US" w:eastAsia="zh-CN"/>
        </w:rPr>
        <w:t>出资人</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应制定考核</w:t>
      </w:r>
      <w:r>
        <w:rPr>
          <w:rFonts w:hint="default" w:ascii="Times New Roman" w:hAnsi="Times New Roman" w:eastAsia="方正仿宋_GBK" w:cs="Times New Roman"/>
          <w:i w:val="0"/>
          <w:iCs w:val="0"/>
          <w:caps w:val="0"/>
          <w:color w:val="0F1115"/>
          <w:spacing w:val="0"/>
          <w:sz w:val="32"/>
          <w:szCs w:val="32"/>
          <w:shd w:val="clear" w:color="auto" w:fill="FFFFFF"/>
          <w:lang w:val="en-US" w:eastAsia="zh-CN"/>
        </w:rPr>
        <w:t>评价</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细则，与基金设立方案一同报区政府</w:t>
      </w:r>
      <w:r>
        <w:rPr>
          <w:rFonts w:hint="default" w:ascii="Times New Roman" w:hAnsi="Times New Roman" w:eastAsia="方正仿宋_GBK" w:cs="Times New Roman"/>
          <w:i w:val="0"/>
          <w:iCs w:val="0"/>
          <w:caps w:val="0"/>
          <w:color w:val="0F1115"/>
          <w:spacing w:val="0"/>
          <w:sz w:val="32"/>
          <w:szCs w:val="32"/>
          <w:shd w:val="clear" w:color="auto" w:fill="FFFFFF"/>
          <w:lang w:val="en-US" w:eastAsia="zh-CN"/>
        </w:rPr>
        <w:t>审议</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0F1115"/>
          <w:spacing w:val="0"/>
          <w:sz w:val="32"/>
          <w:szCs w:val="32"/>
          <w:shd w:val="clear" w:color="auto" w:fill="FFFFFF"/>
          <w:lang w:val="en-US" w:eastAsia="zh-CN"/>
        </w:rPr>
        <w:t>并</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将相关内容纳入合作协议。</w:t>
      </w:r>
    </w:p>
    <w:p w14:paraId="40D1BDFB">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pP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w:t>
      </w:r>
      <w:r>
        <w:rPr>
          <w:rStyle w:val="11"/>
          <w:rFonts w:hint="eastAsia" w:ascii="Times New Roman" w:hAnsi="Times New Roman" w:eastAsia="方正仿宋_GBK" w:cs="Times New Roman"/>
          <w:b w:val="0"/>
          <w:bCs w:val="0"/>
          <w:i w:val="0"/>
          <w:iCs w:val="0"/>
          <w:caps w:val="0"/>
          <w:color w:val="0F1115"/>
          <w:spacing w:val="0"/>
          <w:sz w:val="32"/>
          <w:szCs w:val="32"/>
          <w:shd w:val="clear" w:color="auto" w:fill="FFFFFF"/>
          <w:lang w:val="en-US" w:eastAsia="zh-CN"/>
        </w:rPr>
        <w:t>二</w:t>
      </w: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）考核内容。重点围绕基金投资进度、</w:t>
      </w:r>
      <w:r>
        <w:rPr>
          <w:rStyle w:val="11"/>
          <w:rFonts w:hint="eastAsia" w:ascii="Times New Roman" w:hAnsi="Times New Roman" w:eastAsia="方正仿宋_GBK" w:cs="Times New Roman"/>
          <w:b w:val="0"/>
          <w:bCs w:val="0"/>
          <w:i w:val="0"/>
          <w:iCs w:val="0"/>
          <w:caps w:val="0"/>
          <w:color w:val="0F1115"/>
          <w:spacing w:val="0"/>
          <w:sz w:val="32"/>
          <w:szCs w:val="32"/>
          <w:shd w:val="clear" w:color="auto" w:fill="FFFFFF"/>
          <w:lang w:val="en-US" w:eastAsia="zh-CN"/>
        </w:rPr>
        <w:t>投资收益、</w:t>
      </w: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返投完成情况、项目储备质量、投后管理能力、风险控制水平、团队稳定性、信息披露及时性与准确性等方面开展综合评价。</w:t>
      </w:r>
    </w:p>
    <w:p w14:paraId="55BAB498">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1"/>
          <w:rFonts w:hint="default" w:ascii="Times New Roman" w:hAnsi="Times New Roman" w:eastAsia="方正仿宋_GBK" w:cs="Times New Roman"/>
          <w:b/>
          <w:bCs/>
          <w:i w:val="0"/>
          <w:iCs w:val="0"/>
          <w:caps w:val="0"/>
          <w:color w:val="0F1115"/>
          <w:spacing w:val="0"/>
          <w:sz w:val="32"/>
          <w:szCs w:val="32"/>
          <w:shd w:val="clear" w:color="auto" w:fill="FFFFFF"/>
        </w:rPr>
      </w:pP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（三）结果运用。年度考核结果与管理费计提、业绩报酬支付挂钩。对考核</w:t>
      </w:r>
      <w:r>
        <w:rPr>
          <w:rStyle w:val="11"/>
          <w:rFonts w:hint="eastAsia" w:ascii="Times New Roman" w:hAnsi="Times New Roman" w:eastAsia="方正仿宋_GBK" w:cs="Times New Roman"/>
          <w:b w:val="0"/>
          <w:bCs w:val="0"/>
          <w:i w:val="0"/>
          <w:iCs w:val="0"/>
          <w:caps w:val="0"/>
          <w:color w:val="0F1115"/>
          <w:spacing w:val="0"/>
          <w:sz w:val="32"/>
          <w:szCs w:val="32"/>
          <w:shd w:val="clear" w:color="auto" w:fill="FFFFFF"/>
          <w:lang w:val="en-US" w:eastAsia="zh-CN"/>
        </w:rPr>
        <w:t>结果不佳</w:t>
      </w:r>
      <w:r>
        <w:rPr>
          <w:rStyle w:val="11"/>
          <w:rFonts w:hint="default" w:ascii="Times New Roman" w:hAnsi="Times New Roman" w:eastAsia="方正仿宋_GBK" w:cs="Times New Roman"/>
          <w:b w:val="0"/>
          <w:bCs w:val="0"/>
          <w:i w:val="0"/>
          <w:iCs w:val="0"/>
          <w:caps w:val="0"/>
          <w:color w:val="0F1115"/>
          <w:spacing w:val="0"/>
          <w:sz w:val="32"/>
          <w:szCs w:val="32"/>
          <w:shd w:val="clear" w:color="auto" w:fill="FFFFFF"/>
        </w:rPr>
        <w:t>的基金管理人，区属国有企业可采取约谈、暂停出资、调整管理权限、提前终止合作等措施；对因履职不力造成基金重大损失的，依法依规追究相应责任。</w:t>
      </w:r>
    </w:p>
    <w:p w14:paraId="4349AC2D">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i w:val="0"/>
          <w:iCs w:val="0"/>
          <w:caps w:val="0"/>
          <w:color w:val="0F1115"/>
          <w:spacing w:val="0"/>
          <w:sz w:val="32"/>
          <w:szCs w:val="32"/>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lang w:val="en-US" w:eastAsia="zh-CN"/>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三十</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lang w:val="en-US" w:eastAsia="zh-CN"/>
        </w:rPr>
        <w:t>条</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F1115"/>
          <w:spacing w:val="0"/>
          <w:sz w:val="32"/>
          <w:szCs w:val="32"/>
          <w:shd w:val="clear" w:color="auto" w:fill="FFFFFF"/>
        </w:rPr>
        <w:t>区属国有企业、</w:t>
      </w:r>
      <w:r>
        <w:rPr>
          <w:rFonts w:hint="default" w:ascii="Times New Roman" w:hAnsi="Times New Roman" w:eastAsia="方正仿宋_GBK" w:cs="Times New Roman"/>
          <w:i w:val="0"/>
          <w:iCs w:val="0"/>
          <w:caps w:val="0"/>
          <w:color w:val="0F1115"/>
          <w:spacing w:val="0"/>
          <w:sz w:val="32"/>
          <w:szCs w:val="32"/>
          <w:shd w:val="clear" w:color="auto" w:fill="FFFFFF"/>
          <w:lang w:val="en-US"/>
        </w:rPr>
        <w:t>基金</w:t>
      </w:r>
      <w:r>
        <w:rPr>
          <w:rFonts w:hint="default" w:ascii="Times New Roman" w:hAnsi="Times New Roman" w:eastAsia="方正仿宋_GBK" w:cs="Times New Roman"/>
          <w:i w:val="0"/>
          <w:iCs w:val="0"/>
          <w:caps w:val="0"/>
          <w:color w:val="0F1115"/>
          <w:spacing w:val="0"/>
          <w:sz w:val="32"/>
          <w:szCs w:val="32"/>
          <w:shd w:val="clear" w:color="auto" w:fill="FFFFFF"/>
        </w:rPr>
        <w:t>管理人及相关人员在基金运作中，严格遵守法律法规及本办法规定，程序合规、勤勉尽责，因市场波动、政策调整等客观因素导致未达预期或出现亏损的，经认定后予以尽职免责，不</w:t>
      </w:r>
      <w:r>
        <w:rPr>
          <w:rFonts w:hint="eastAsia" w:ascii="Times New Roman" w:hAnsi="Times New Roman" w:eastAsia="方正仿宋_GBK" w:cs="Times New Roman"/>
          <w:i w:val="0"/>
          <w:iCs w:val="0"/>
          <w:caps w:val="0"/>
          <w:color w:val="0F1115"/>
          <w:spacing w:val="0"/>
          <w:sz w:val="32"/>
          <w:szCs w:val="32"/>
          <w:shd w:val="clear" w:color="auto" w:fill="FFFFFF"/>
          <w:lang w:eastAsia="zh-CN"/>
        </w:rPr>
        <w:t>做</w:t>
      </w:r>
      <w:r>
        <w:rPr>
          <w:rFonts w:hint="default" w:ascii="Times New Roman" w:hAnsi="Times New Roman" w:eastAsia="方正仿宋_GBK" w:cs="Times New Roman"/>
          <w:i w:val="0"/>
          <w:iCs w:val="0"/>
          <w:caps w:val="0"/>
          <w:color w:val="0F1115"/>
          <w:spacing w:val="0"/>
          <w:sz w:val="32"/>
          <w:szCs w:val="32"/>
          <w:shd w:val="clear" w:color="auto" w:fill="FFFFFF"/>
        </w:rPr>
        <w:t>负面评价。</w:t>
      </w:r>
    </w:p>
    <w:p w14:paraId="3F21B460">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黑体_GBK" w:hAnsi="方正黑体_GBK" w:eastAsia="方正黑体_GBK" w:cs="方正黑体_GBK"/>
          <w:b w:val="0"/>
          <w:bCs w:val="0"/>
          <w:i w:val="0"/>
          <w:iCs w:val="0"/>
          <w:caps w:val="0"/>
          <w:color w:val="0F1115"/>
          <w:spacing w:val="0"/>
          <w:sz w:val="32"/>
          <w:szCs w:val="32"/>
          <w:shd w:val="clear" w:color="auto" w:fill="FFFFFF"/>
        </w:rPr>
      </w:pPr>
    </w:p>
    <w:p w14:paraId="5E7E6357">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仿宋_GBK" w:cs="Times New Roman"/>
          <w:i w:val="0"/>
          <w:iCs w:val="0"/>
          <w:caps w:val="0"/>
          <w:color w:val="0F1115"/>
          <w:spacing w:val="0"/>
          <w:sz w:val="32"/>
          <w:szCs w:val="32"/>
          <w:shd w:val="clear" w:color="auto" w:fill="FFFFFF"/>
        </w:rPr>
      </w:pPr>
      <w:r>
        <w:rPr>
          <w:rStyle w:val="11"/>
          <w:rFonts w:hint="default" w:ascii="方正黑体_GBK" w:hAnsi="方正黑体_GBK" w:eastAsia="方正黑体_GBK" w:cs="方正黑体_GBK"/>
          <w:b w:val="0"/>
          <w:bCs w:val="0"/>
          <w:i w:val="0"/>
          <w:iCs w:val="0"/>
          <w:caps w:val="0"/>
          <w:color w:val="0F1115"/>
          <w:spacing w:val="0"/>
          <w:kern w:val="0"/>
          <w:sz w:val="32"/>
          <w:szCs w:val="32"/>
          <w:shd w:val="clear" w:color="auto" w:fill="FFFFFF"/>
          <w:lang w:val="en-US" w:eastAsia="zh-CN" w:bidi="ar-SA"/>
        </w:rPr>
        <w:t xml:space="preserve">第八章 </w:t>
      </w:r>
      <w:r>
        <w:rPr>
          <w:rStyle w:val="11"/>
          <w:rFonts w:hint="eastAsia" w:ascii="方正黑体_GBK" w:hAnsi="方正黑体_GBK" w:eastAsia="方正黑体_GBK" w:cs="方正黑体_GBK"/>
          <w:b w:val="0"/>
          <w:bCs w:val="0"/>
          <w:i w:val="0"/>
          <w:iCs w:val="0"/>
          <w:caps w:val="0"/>
          <w:color w:val="0F1115"/>
          <w:spacing w:val="0"/>
          <w:kern w:val="0"/>
          <w:sz w:val="32"/>
          <w:szCs w:val="32"/>
          <w:shd w:val="clear" w:color="auto" w:fill="FFFFFF"/>
          <w:lang w:val="en-US" w:eastAsia="zh-CN" w:bidi="ar-SA"/>
        </w:rPr>
        <w:t xml:space="preserve"> 监督管理</w:t>
      </w:r>
    </w:p>
    <w:p w14:paraId="5AA11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Style w:val="11"/>
          <w:rFonts w:hint="eastAsia"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第三十一条</w:t>
      </w:r>
      <w:r>
        <w:rPr>
          <w:rFonts w:hint="default" w:ascii="Times New Roman" w:hAnsi="Times New Roman" w:eastAsia="方正仿宋_GBK" w:cs="Times New Roman"/>
          <w:sz w:val="32"/>
          <w:szCs w:val="40"/>
        </w:rPr>
        <w:t>　区国资委应当加强对</w:t>
      </w:r>
      <w:r>
        <w:rPr>
          <w:rFonts w:hint="default" w:ascii="Times New Roman" w:hAnsi="Times New Roman" w:eastAsia="方正仿宋_GBK" w:cs="Times New Roman"/>
          <w:sz w:val="32"/>
          <w:szCs w:val="40"/>
          <w:lang w:val="en-US"/>
        </w:rPr>
        <w:t>国企</w:t>
      </w:r>
      <w:r>
        <w:rPr>
          <w:rFonts w:hint="default" w:ascii="Times New Roman" w:hAnsi="Times New Roman" w:eastAsia="方正仿宋_GBK" w:cs="Times New Roman"/>
          <w:sz w:val="32"/>
          <w:szCs w:val="40"/>
        </w:rPr>
        <w:t>投资基金的监督</w:t>
      </w:r>
      <w:r>
        <w:rPr>
          <w:rFonts w:hint="default" w:ascii="Times New Roman" w:hAnsi="Times New Roman" w:eastAsia="方正仿宋_GBK" w:cs="Times New Roman"/>
          <w:sz w:val="32"/>
          <w:szCs w:val="40"/>
          <w:lang w:val="en-US"/>
        </w:rPr>
        <w:t>管理</w:t>
      </w:r>
      <w:r>
        <w:rPr>
          <w:rFonts w:hint="default" w:ascii="Times New Roman" w:hAnsi="Times New Roman" w:eastAsia="方正仿宋_GBK" w:cs="Times New Roman"/>
          <w:sz w:val="32"/>
          <w:szCs w:val="40"/>
        </w:rPr>
        <w:t>，方式包括定期检查、专项检查和随机抽查等。</w:t>
      </w:r>
    </w:p>
    <w:p w14:paraId="226F1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Style w:val="11"/>
          <w:rFonts w:hint="default"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第</w:t>
      </w:r>
      <w:r>
        <w:rPr>
          <w:rStyle w:val="11"/>
          <w:rFonts w:hint="eastAsia"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三十二</w:t>
      </w:r>
      <w:r>
        <w:rPr>
          <w:rStyle w:val="11"/>
          <w:rFonts w:hint="default"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条</w:t>
      </w:r>
      <w:r>
        <w:rPr>
          <w:rFonts w:hint="default" w:ascii="Times New Roman" w:hAnsi="Times New Roman" w:eastAsia="方正仿宋_GBK" w:cs="Times New Roman"/>
          <w:sz w:val="32"/>
          <w:szCs w:val="40"/>
        </w:rPr>
        <w:t>　区属国有企业出资主体应当自觉接受审计</w:t>
      </w:r>
      <w:r>
        <w:rPr>
          <w:rFonts w:hint="default" w:ascii="Times New Roman" w:hAnsi="Times New Roman" w:eastAsia="方正仿宋_GBK" w:cs="Times New Roman"/>
          <w:sz w:val="32"/>
          <w:szCs w:val="40"/>
          <w:lang w:val="en-US"/>
        </w:rPr>
        <w:t>、国资</w:t>
      </w:r>
      <w:r>
        <w:rPr>
          <w:rFonts w:hint="default" w:ascii="Times New Roman" w:hAnsi="Times New Roman" w:eastAsia="方正仿宋_GBK" w:cs="Times New Roman"/>
          <w:sz w:val="32"/>
          <w:szCs w:val="40"/>
        </w:rPr>
        <w:t>等部门的审计监督和财务监督，配合做好相关监督检查工作。</w:t>
      </w:r>
    </w:p>
    <w:p w14:paraId="6DB1B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Style w:val="11"/>
          <w:rFonts w:hint="default"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第</w:t>
      </w:r>
      <w:r>
        <w:rPr>
          <w:rStyle w:val="11"/>
          <w:rFonts w:hint="eastAsia"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三十三</w:t>
      </w:r>
      <w:r>
        <w:rPr>
          <w:rStyle w:val="11"/>
          <w:rFonts w:hint="default"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条</w:t>
      </w:r>
      <w:r>
        <w:rPr>
          <w:rFonts w:hint="default" w:ascii="Times New Roman" w:hAnsi="Times New Roman" w:eastAsia="方正仿宋_GBK" w:cs="Times New Roman"/>
          <w:sz w:val="32"/>
          <w:szCs w:val="40"/>
        </w:rPr>
        <w:t>　区属国有企业出资主体违反本办法规定，有下列情形之一的，由区国资委责令改正；情节严重造成国有资产损失的，依照有关规定追究相关责任人的责任：</w:t>
      </w:r>
    </w:p>
    <w:p w14:paraId="0F4A8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（一）未经批准擅自设立或参与投资基金的；</w:t>
      </w:r>
    </w:p>
    <w:p w14:paraId="305807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（二）未按规定履行决策程序的；</w:t>
      </w:r>
    </w:p>
    <w:p w14:paraId="50DF2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（三）未按规定建立健全风控制度的；</w:t>
      </w:r>
    </w:p>
    <w:p w14:paraId="01B7D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（四）未按规定报送基金运行情况的；</w:t>
      </w:r>
    </w:p>
    <w:p w14:paraId="3A10F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（五）其他违反法律法规和本办法规定的行为。</w:t>
      </w:r>
    </w:p>
    <w:p w14:paraId="23A1A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Style w:val="11"/>
          <w:rFonts w:hint="default"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第</w:t>
      </w:r>
      <w:r>
        <w:rPr>
          <w:rStyle w:val="11"/>
          <w:rFonts w:hint="eastAsia"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三十四</w:t>
      </w:r>
      <w:r>
        <w:rPr>
          <w:rStyle w:val="11"/>
          <w:rFonts w:hint="default"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条</w:t>
      </w:r>
      <w:r>
        <w:rPr>
          <w:rFonts w:hint="default" w:ascii="Times New Roman" w:hAnsi="Times New Roman" w:eastAsia="方正仿宋_GBK" w:cs="Times New Roman"/>
          <w:sz w:val="32"/>
          <w:szCs w:val="40"/>
        </w:rPr>
        <w:t>　基金管理人违反法律法规和基金协议约定，损害国有出资人权益的，区属国有企业出资主体应当依法追究其责任。</w:t>
      </w:r>
    </w:p>
    <w:p w14:paraId="1470D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40"/>
        </w:rPr>
      </w:pPr>
      <w:r>
        <w:rPr>
          <w:rStyle w:val="11"/>
          <w:rFonts w:hint="default"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第</w:t>
      </w:r>
      <w:r>
        <w:rPr>
          <w:rStyle w:val="11"/>
          <w:rFonts w:hint="eastAsia"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三十五</w:t>
      </w:r>
      <w:r>
        <w:rPr>
          <w:rStyle w:val="11"/>
          <w:rFonts w:hint="default"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条</w:t>
      </w:r>
      <w:r>
        <w:rPr>
          <w:rStyle w:val="11"/>
          <w:rFonts w:hint="eastAsia" w:ascii="方正楷体_GBK" w:hAnsi="方正楷体_GBK" w:eastAsia="方正楷体_GBK" w:cs="方正楷体_GBK"/>
          <w:b w:val="0"/>
          <w:bCs w:val="0"/>
          <w:i w:val="0"/>
          <w:iCs w:val="0"/>
          <w:caps w:val="0"/>
          <w:color w:val="0F1115"/>
          <w:spacing w:val="0"/>
          <w:kern w:val="0"/>
          <w:sz w:val="32"/>
          <w:szCs w:val="32"/>
          <w:shd w:val="clear" w:color="auto" w:fill="FFFFFF"/>
          <w:lang w:val="en-US" w:eastAsia="zh-CN"/>
        </w:rPr>
        <w:t xml:space="preserve">  </w:t>
      </w:r>
      <w:r>
        <w:rPr>
          <w:rFonts w:hint="default" w:ascii="Times New Roman" w:hAnsi="Times New Roman" w:eastAsia="方正仿宋_GBK" w:cs="Times New Roman"/>
          <w:sz w:val="32"/>
          <w:szCs w:val="40"/>
          <w:lang w:val="en-US" w:eastAsia="zh-CN"/>
        </w:rPr>
        <w:t>国企</w:t>
      </w:r>
      <w:r>
        <w:rPr>
          <w:rFonts w:hint="default" w:ascii="Times New Roman" w:hAnsi="Times New Roman" w:eastAsia="方正仿宋_GBK" w:cs="Times New Roman"/>
          <w:sz w:val="32"/>
          <w:szCs w:val="40"/>
        </w:rPr>
        <w:t>投资基金相关信息应当按照规定进行信息披露，涉及国家秘密和商业秘密的，应当</w:t>
      </w:r>
      <w:r>
        <w:rPr>
          <w:rFonts w:hint="default" w:ascii="Times New Roman" w:hAnsi="Times New Roman" w:eastAsia="方正仿宋_GBK" w:cs="Times New Roman"/>
          <w:sz w:val="32"/>
          <w:szCs w:val="40"/>
          <w:lang w:val="en-US"/>
        </w:rPr>
        <w:t>严格执行</w:t>
      </w:r>
      <w:r>
        <w:rPr>
          <w:rFonts w:hint="default" w:ascii="Times New Roman" w:hAnsi="Times New Roman" w:eastAsia="方正仿宋_GBK" w:cs="Times New Roman"/>
          <w:sz w:val="32"/>
          <w:szCs w:val="40"/>
        </w:rPr>
        <w:t>保密</w:t>
      </w:r>
      <w:r>
        <w:rPr>
          <w:rFonts w:hint="default" w:ascii="Times New Roman" w:hAnsi="Times New Roman" w:eastAsia="方正仿宋_GBK" w:cs="Times New Roman"/>
          <w:sz w:val="32"/>
          <w:szCs w:val="40"/>
          <w:lang w:val="en-US"/>
        </w:rPr>
        <w:t>规定</w:t>
      </w:r>
      <w:r>
        <w:rPr>
          <w:rFonts w:hint="default" w:ascii="Times New Roman" w:hAnsi="Times New Roman" w:eastAsia="方正仿宋_GBK" w:cs="Times New Roman"/>
          <w:sz w:val="32"/>
          <w:szCs w:val="40"/>
        </w:rPr>
        <w:t>。</w:t>
      </w:r>
    </w:p>
    <w:p w14:paraId="0C9FADCB">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黑体_GBK" w:hAnsi="方正黑体_GBK" w:eastAsia="方正黑体_GBK" w:cs="方正黑体_GBK"/>
          <w:b w:val="0"/>
          <w:bCs w:val="0"/>
          <w:i w:val="0"/>
          <w:iCs w:val="0"/>
          <w:caps w:val="0"/>
          <w:color w:val="0F1115"/>
          <w:spacing w:val="0"/>
          <w:sz w:val="32"/>
          <w:szCs w:val="32"/>
          <w:shd w:val="clear" w:color="auto" w:fill="FFFFFF"/>
        </w:rPr>
      </w:pPr>
    </w:p>
    <w:p w14:paraId="27BDABA8">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仿宋_GBK" w:cs="Times New Roman"/>
          <w:i w:val="0"/>
          <w:iCs w:val="0"/>
          <w:caps w:val="0"/>
          <w:color w:val="0F1115"/>
          <w:spacing w:val="0"/>
          <w:sz w:val="32"/>
          <w:szCs w:val="32"/>
        </w:rPr>
      </w:pPr>
      <w:r>
        <w:rPr>
          <w:rFonts w:hint="eastAsia" w:ascii="方正黑体_GBK" w:hAnsi="方正黑体_GBK" w:eastAsia="方正黑体_GBK" w:cs="方正黑体_GBK"/>
          <w:b w:val="0"/>
          <w:bCs w:val="0"/>
          <w:i w:val="0"/>
          <w:iCs w:val="0"/>
          <w:caps w:val="0"/>
          <w:color w:val="0F1115"/>
          <w:spacing w:val="0"/>
          <w:sz w:val="32"/>
          <w:szCs w:val="32"/>
          <w:shd w:val="clear" w:color="auto" w:fill="FFFFFF"/>
        </w:rPr>
        <w:t>第</w:t>
      </w:r>
      <w:r>
        <w:rPr>
          <w:rFonts w:hint="eastAsia" w:ascii="方正黑体_GBK" w:hAnsi="方正黑体_GBK" w:eastAsia="方正黑体_GBK" w:cs="方正黑体_GBK"/>
          <w:b w:val="0"/>
          <w:bCs w:val="0"/>
          <w:i w:val="0"/>
          <w:iCs w:val="0"/>
          <w:caps w:val="0"/>
          <w:color w:val="0F1115"/>
          <w:spacing w:val="0"/>
          <w:sz w:val="32"/>
          <w:szCs w:val="32"/>
          <w:shd w:val="clear" w:color="auto" w:fill="FFFFFF"/>
          <w:lang w:val="en-US"/>
        </w:rPr>
        <w:t>九</w:t>
      </w:r>
      <w:r>
        <w:rPr>
          <w:rFonts w:hint="eastAsia" w:ascii="方正黑体_GBK" w:hAnsi="方正黑体_GBK" w:eastAsia="方正黑体_GBK" w:cs="方正黑体_GBK"/>
          <w:b w:val="0"/>
          <w:bCs w:val="0"/>
          <w:i w:val="0"/>
          <w:iCs w:val="0"/>
          <w:caps w:val="0"/>
          <w:color w:val="0F1115"/>
          <w:spacing w:val="0"/>
          <w:sz w:val="32"/>
          <w:szCs w:val="32"/>
          <w:shd w:val="clear" w:color="auto" w:fill="FFFFFF"/>
        </w:rPr>
        <w:t xml:space="preserve">章 </w:t>
      </w:r>
      <w:r>
        <w:rPr>
          <w:rFonts w:hint="eastAsia" w:ascii="方正黑体_GBK" w:hAnsi="方正黑体_GBK" w:eastAsia="方正黑体_GBK" w:cs="方正黑体_GBK"/>
          <w:b w:val="0"/>
          <w:bCs w:val="0"/>
          <w:i w:val="0"/>
          <w:iCs w:val="0"/>
          <w:caps w:val="0"/>
          <w:color w:val="0F1115"/>
          <w:spacing w:val="0"/>
          <w:sz w:val="32"/>
          <w:szCs w:val="32"/>
          <w:shd w:val="clear" w:color="auto" w:fill="FFFFFF"/>
          <w:lang w:val="en-US" w:eastAsia="zh-CN"/>
        </w:rPr>
        <w:t xml:space="preserve"> </w:t>
      </w:r>
      <w:r>
        <w:rPr>
          <w:rFonts w:hint="eastAsia" w:ascii="方正黑体_GBK" w:hAnsi="方正黑体_GBK" w:eastAsia="方正黑体_GBK" w:cs="方正黑体_GBK"/>
          <w:b w:val="0"/>
          <w:bCs w:val="0"/>
          <w:i w:val="0"/>
          <w:iCs w:val="0"/>
          <w:caps w:val="0"/>
          <w:color w:val="0F1115"/>
          <w:spacing w:val="0"/>
          <w:sz w:val="32"/>
          <w:szCs w:val="32"/>
          <w:shd w:val="clear" w:color="auto" w:fill="FFFFFF"/>
        </w:rPr>
        <w:t>附则</w:t>
      </w:r>
    </w:p>
    <w:p w14:paraId="0A12C4AD">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rPr>
      </w:pP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三十六</w:t>
      </w:r>
      <w:r>
        <w:rPr>
          <w:rStyle w:val="11"/>
          <w:rFonts w:hint="default" w:ascii="方正楷体_GBK" w:hAnsi="方正楷体_GBK" w:eastAsia="方正楷体_GBK" w:cs="方正楷体_GBK"/>
          <w:b w:val="0"/>
          <w:bCs w:val="0"/>
          <w:i w:val="0"/>
          <w:iCs w:val="0"/>
          <w:caps w:val="0"/>
          <w:color w:val="0F1115"/>
          <w:spacing w:val="0"/>
          <w:sz w:val="32"/>
          <w:szCs w:val="32"/>
          <w:shd w:val="clear" w:color="auto" w:fill="FFFFFF"/>
        </w:rPr>
        <w:t>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color="auto" w:fill="FFFFFF"/>
        </w:rPr>
        <w:t>区属国有企业出资比例不超过50%，且不构成实际控制的基金，</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按照国有参股企业进行管理，其投资决策、</w:t>
      </w:r>
      <w:r>
        <w:rPr>
          <w:rFonts w:hint="default" w:ascii="Times New Roman" w:hAnsi="Times New Roman" w:eastAsia="方正仿宋_GBK" w:cs="Times New Roman"/>
          <w:i w:val="0"/>
          <w:iCs w:val="0"/>
          <w:caps w:val="0"/>
          <w:color w:val="000000"/>
          <w:spacing w:val="0"/>
          <w:sz w:val="32"/>
          <w:szCs w:val="32"/>
          <w:shd w:val="clear" w:color="auto" w:fill="FFFFFF"/>
        </w:rPr>
        <w:t>具体管理</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方式等</w:t>
      </w:r>
      <w:r>
        <w:rPr>
          <w:rFonts w:hint="default" w:ascii="Times New Roman" w:hAnsi="Times New Roman" w:eastAsia="方正仿宋_GBK" w:cs="Times New Roman"/>
          <w:i w:val="0"/>
          <w:iCs w:val="0"/>
          <w:caps w:val="0"/>
          <w:color w:val="000000"/>
          <w:spacing w:val="0"/>
          <w:sz w:val="32"/>
          <w:szCs w:val="32"/>
          <w:shd w:val="clear" w:color="auto" w:fill="FFFFFF"/>
        </w:rPr>
        <w:t>由全体出资人在合伙协议中协商确定，</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鼓励参照本办法实施</w:t>
      </w:r>
      <w:r>
        <w:rPr>
          <w:rFonts w:hint="eastAsia" w:ascii="Times New Roman" w:hAnsi="Times New Roman" w:eastAsia="方正仿宋_GBK" w:cs="Times New Roman"/>
          <w:i w:val="0"/>
          <w:iCs w:val="0"/>
          <w:caps w:val="0"/>
          <w:color w:val="000000"/>
          <w:spacing w:val="0"/>
          <w:sz w:val="32"/>
          <w:szCs w:val="32"/>
          <w:shd w:val="clear" w:color="auto" w:fill="FFFFFF"/>
          <w:lang w:eastAsia="zh-CN"/>
        </w:rPr>
        <w:t>。</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区属国有企业应在参股基金合伙协议中明确约定返投要求、信息知情权、重大事项书面同意权等权益保护条款。</w:t>
      </w:r>
    </w:p>
    <w:p w14:paraId="F8CA66B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2"/>
          <w:sz w:val="32"/>
          <w:szCs w:val="40"/>
          <w:lang w:val="en-US" w:eastAsia="zh-CN" w:bidi="ar-SA"/>
        </w:rPr>
      </w:pP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rPr>
        <w:t>第</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lang w:val="en-US" w:eastAsia="zh-CN"/>
        </w:rPr>
        <w:t>三十七</w:t>
      </w:r>
      <w:r>
        <w:rPr>
          <w:rStyle w:val="11"/>
          <w:rFonts w:hint="eastAsia" w:ascii="方正楷体_GBK" w:hAnsi="方正楷体_GBK" w:eastAsia="方正楷体_GBK" w:cs="方正楷体_GBK"/>
          <w:b w:val="0"/>
          <w:bCs w:val="0"/>
          <w:i w:val="0"/>
          <w:iCs w:val="0"/>
          <w:caps w:val="0"/>
          <w:color w:val="0F1115"/>
          <w:spacing w:val="0"/>
          <w:sz w:val="32"/>
          <w:szCs w:val="32"/>
          <w:shd w:val="clear" w:color="auto" w:fill="FFFFFF"/>
        </w:rPr>
        <w:t>条</w:t>
      </w:r>
      <w:r>
        <w:rPr>
          <w:rFonts w:hint="default" w:ascii="Times New Roman" w:hAnsi="Times New Roman" w:eastAsia="方正仿宋_GBK" w:cs="Times New Roman"/>
          <w:i w:val="0"/>
          <w:iCs w:val="0"/>
          <w:caps w:val="0"/>
          <w:color w:val="0F1115"/>
          <w:spacing w:val="0"/>
          <w:sz w:val="32"/>
          <w:szCs w:val="32"/>
          <w:shd w:val="clear" w:color="auto" w:fill="FFFFFF"/>
        </w:rPr>
        <w:t> </w:t>
      </w:r>
      <w:r>
        <w:rPr>
          <w:rFonts w:hint="eastAsia" w:ascii="Times New Roman" w:hAnsi="Times New Roman" w:eastAsia="方正仿宋_GBK"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方正仿宋_GBK" w:cs="Times New Roman"/>
          <w:kern w:val="2"/>
          <w:sz w:val="32"/>
          <w:szCs w:val="40"/>
          <w:lang w:val="en-US" w:eastAsia="zh-CN" w:bidi="ar-SA"/>
        </w:rPr>
        <w:t>本办法由区国资委负责解释，自印发之日起施行。国家、重庆市对国企投资基金管理有新规定的，从其规定。</w:t>
      </w:r>
    </w:p>
    <w:p w14:paraId="4FEC540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方正仿宋_GBK" w:cs="Times New Roman"/>
          <w:kern w:val="2"/>
          <w:sz w:val="32"/>
          <w:szCs w:val="40"/>
          <w:lang w:val="en-US" w:eastAsia="zh-CN" w:bidi="ar-SA"/>
        </w:rPr>
      </w:pPr>
      <w:r>
        <w:rPr>
          <w:rFonts w:hint="default" w:ascii="Times New Roman" w:hAnsi="Times New Roman" w:eastAsia="方正仿宋_GBK" w:cs="Times New Roman"/>
          <w:kern w:val="2"/>
          <w:sz w:val="32"/>
          <w:szCs w:val="40"/>
          <w:lang w:val="en-US" w:eastAsia="zh-CN" w:bidi="ar-SA"/>
        </w:rPr>
        <w:t>区内</w:t>
      </w:r>
      <w:r>
        <w:rPr>
          <w:rFonts w:hint="eastAsia" w:ascii="Times New Roman" w:hAnsi="Times New Roman" w:eastAsia="方正仿宋_GBK" w:cs="Times New Roman"/>
          <w:kern w:val="2"/>
          <w:sz w:val="32"/>
          <w:szCs w:val="40"/>
          <w:lang w:val="en-US" w:eastAsia="zh-CN" w:bidi="ar-SA"/>
        </w:rPr>
        <w:t>其他文件与本办法不一致的，按本办法执行。</w:t>
      </w:r>
      <w:bookmarkStart w:id="0" w:name="_GoBack"/>
      <w:bookmarkEnd w:id="0"/>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A4CE3">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-190500</wp:posOffset>
              </wp:positionV>
              <wp:extent cx="793115" cy="454660"/>
              <wp:effectExtent l="0" t="0" r="0" b="0"/>
              <wp:wrapNone/>
              <wp:docPr id="4097" name="文本框 1"/>
              <wp:cNvGraphicFramePr/>
              <a:graphic xmlns:a="http://schemas.openxmlformats.org/drawingml/2006/main">
                <a:graphicData uri="http://schemas.microsoft.com/office/word/2010/wordprocessingShape">
                  <wps:wsp>
                    <wps:cNvSpPr/>
                    <wps:spPr>
                      <a:xfrm>
                        <a:off x="0" y="0"/>
                        <a:ext cx="793115" cy="454660"/>
                      </a:xfrm>
                      <a:prstGeom prst="rect">
                        <a:avLst/>
                      </a:prstGeom>
                      <a:ln>
                        <a:noFill/>
                      </a:ln>
                    </wps:spPr>
                    <wps:txbx>
                      <w:txbxContent>
                        <w:p w14:paraId="74A5AC82">
                          <w:pPr>
                            <w:pStyle w:val="5"/>
                            <w:rPr>
                              <w:rFonts w:hint="default" w:ascii="Times New Roman" w:hAnsi="Times New Roman" w:cs="Times New Roman"/>
                              <w:sz w:val="32"/>
                              <w:szCs w:val="48"/>
                            </w:rPr>
                          </w:pPr>
                          <w:r>
                            <w:rPr>
                              <w:rFonts w:hint="default" w:ascii="Times New Roman" w:hAnsi="Times New Roman" w:cs="Times New Roman"/>
                              <w:sz w:val="32"/>
                              <w:szCs w:val="48"/>
                            </w:rPr>
                            <w:t xml:space="preserve">— </w:t>
                          </w:r>
                          <w:r>
                            <w:rPr>
                              <w:rFonts w:hint="default" w:ascii="Times New Roman" w:hAnsi="Times New Roman" w:cs="Times New Roman"/>
                              <w:sz w:val="32"/>
                              <w:szCs w:val="48"/>
                            </w:rPr>
                            <w:fldChar w:fldCharType="begin"/>
                          </w:r>
                          <w:r>
                            <w:rPr>
                              <w:rFonts w:hint="default" w:ascii="Times New Roman" w:hAnsi="Times New Roman" w:cs="Times New Roman"/>
                              <w:sz w:val="32"/>
                              <w:szCs w:val="48"/>
                            </w:rPr>
                            <w:instrText xml:space="preserve"> PAGE  \* MERGEFORMAT </w:instrText>
                          </w:r>
                          <w:r>
                            <w:rPr>
                              <w:rFonts w:hint="default" w:ascii="Times New Roman" w:hAnsi="Times New Roman" w:cs="Times New Roman"/>
                              <w:sz w:val="32"/>
                              <w:szCs w:val="48"/>
                            </w:rPr>
                            <w:fldChar w:fldCharType="separate"/>
                          </w:r>
                          <w:r>
                            <w:rPr>
                              <w:rFonts w:hint="default" w:ascii="Times New Roman" w:hAnsi="Times New Roman" w:cs="Times New Roman"/>
                              <w:sz w:val="32"/>
                              <w:szCs w:val="48"/>
                            </w:rPr>
                            <w:t>1</w:t>
                          </w:r>
                          <w:r>
                            <w:rPr>
                              <w:rFonts w:hint="default" w:ascii="Times New Roman" w:hAnsi="Times New Roman" w:cs="Times New Roman"/>
                              <w:sz w:val="32"/>
                              <w:szCs w:val="48"/>
                            </w:rPr>
                            <w:fldChar w:fldCharType="end"/>
                          </w:r>
                          <w:r>
                            <w:rPr>
                              <w:rFonts w:hint="default" w:ascii="Times New Roman" w:hAnsi="Times New Roman" w:cs="Times New Roman"/>
                              <w:sz w:val="32"/>
                              <w:szCs w:val="48"/>
                            </w:rPr>
                            <w:t xml:space="preserve"> —</w:t>
                          </w:r>
                        </w:p>
                      </w:txbxContent>
                    </wps:txbx>
                    <wps:bodyPr vert="horz" wrap="square" lIns="0" tIns="0" rIns="0" bIns="0" anchor="t" upright="0">
                      <a:noAutofit/>
                    </wps:bodyPr>
                  </wps:wsp>
                </a:graphicData>
              </a:graphic>
            </wp:anchor>
          </w:drawing>
        </mc:Choice>
        <mc:Fallback>
          <w:pict>
            <v:rect id="文本框 1" o:spid="_x0000_s1026" o:spt="1" style="position:absolute;left:0pt;margin-top:-15pt;height:35.8pt;width:62.45pt;mso-position-horizontal:outside;mso-position-horizontal-relative:margin;z-index:251659264;mso-width-relative:page;mso-height-relative:page;" filled="f" stroked="f" coordsize="21600,21600" o:gfxdata="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zsxU2AAAAAcBAAAPAAAAAAAA&#10;AAEAIAAAACIAAABkcnMvZG93bnJldi54bWxQSwECFAAUAAAACACHTuJAcZhoMdkBAACeAwAADgAA&#10;AAAAAAABACAAAAAnAQAAZHJzL2Uyb0RvYy54bWxQSwUGAAAAAAYABgBZAQAAcgUAAAAA&#10;">
              <v:fill on="f" focussize="0,0"/>
              <v:stroke on="f"/>
              <v:imagedata o:title=""/>
              <o:lock v:ext="edit" aspectratio="f"/>
              <v:textbox inset="0mm,0mm,0mm,0mm">
                <w:txbxContent>
                  <w:p w14:paraId="74A5AC82">
                    <w:pPr>
                      <w:pStyle w:val="5"/>
                      <w:rPr>
                        <w:rFonts w:hint="default" w:ascii="Times New Roman" w:hAnsi="Times New Roman" w:cs="Times New Roman"/>
                        <w:sz w:val="32"/>
                        <w:szCs w:val="48"/>
                      </w:rPr>
                    </w:pPr>
                    <w:r>
                      <w:rPr>
                        <w:rFonts w:hint="default" w:ascii="Times New Roman" w:hAnsi="Times New Roman" w:cs="Times New Roman"/>
                        <w:sz w:val="32"/>
                        <w:szCs w:val="48"/>
                      </w:rPr>
                      <w:t xml:space="preserve">— </w:t>
                    </w:r>
                    <w:r>
                      <w:rPr>
                        <w:rFonts w:hint="default" w:ascii="Times New Roman" w:hAnsi="Times New Roman" w:cs="Times New Roman"/>
                        <w:sz w:val="32"/>
                        <w:szCs w:val="48"/>
                      </w:rPr>
                      <w:fldChar w:fldCharType="begin"/>
                    </w:r>
                    <w:r>
                      <w:rPr>
                        <w:rFonts w:hint="default" w:ascii="Times New Roman" w:hAnsi="Times New Roman" w:cs="Times New Roman"/>
                        <w:sz w:val="32"/>
                        <w:szCs w:val="48"/>
                      </w:rPr>
                      <w:instrText xml:space="preserve"> PAGE  \* MERGEFORMAT </w:instrText>
                    </w:r>
                    <w:r>
                      <w:rPr>
                        <w:rFonts w:hint="default" w:ascii="Times New Roman" w:hAnsi="Times New Roman" w:cs="Times New Roman"/>
                        <w:sz w:val="32"/>
                        <w:szCs w:val="48"/>
                      </w:rPr>
                      <w:fldChar w:fldCharType="separate"/>
                    </w:r>
                    <w:r>
                      <w:rPr>
                        <w:rFonts w:hint="default" w:ascii="Times New Roman" w:hAnsi="Times New Roman" w:cs="Times New Roman"/>
                        <w:sz w:val="32"/>
                        <w:szCs w:val="48"/>
                      </w:rPr>
                      <w:t>1</w:t>
                    </w:r>
                    <w:r>
                      <w:rPr>
                        <w:rFonts w:hint="default" w:ascii="Times New Roman" w:hAnsi="Times New Roman" w:cs="Times New Roman"/>
                        <w:sz w:val="32"/>
                        <w:szCs w:val="48"/>
                      </w:rPr>
                      <w:fldChar w:fldCharType="end"/>
                    </w:r>
                    <w:r>
                      <w:rPr>
                        <w:rFonts w:hint="default" w:ascii="Times New Roman" w:hAnsi="Times New Roman" w:cs="Times New Roman"/>
                        <w:sz w:val="32"/>
                        <w:szCs w:val="4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C50BA"/>
    <w:rsid w:val="065344DE"/>
    <w:rsid w:val="09DE3211"/>
    <w:rsid w:val="0C343867"/>
    <w:rsid w:val="10684F05"/>
    <w:rsid w:val="10A122E9"/>
    <w:rsid w:val="180F222F"/>
    <w:rsid w:val="21787096"/>
    <w:rsid w:val="283A0250"/>
    <w:rsid w:val="28FA5685"/>
    <w:rsid w:val="2B9130EB"/>
    <w:rsid w:val="2C7F577D"/>
    <w:rsid w:val="307777B8"/>
    <w:rsid w:val="369B0B24"/>
    <w:rsid w:val="38433F8B"/>
    <w:rsid w:val="3E710C74"/>
    <w:rsid w:val="3EDF7A33"/>
    <w:rsid w:val="44354AC7"/>
    <w:rsid w:val="445510A9"/>
    <w:rsid w:val="4BBA4596"/>
    <w:rsid w:val="4C5C0EA3"/>
    <w:rsid w:val="4D457238"/>
    <w:rsid w:val="53305E27"/>
    <w:rsid w:val="5ABD4555"/>
    <w:rsid w:val="5D2C419E"/>
    <w:rsid w:val="6C812606"/>
    <w:rsid w:val="6EA12D56"/>
    <w:rsid w:val="6F8C3396"/>
    <w:rsid w:val="704769F8"/>
    <w:rsid w:val="7C84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4">
    <w:name w:val="Body Text"/>
    <w:basedOn w:val="1"/>
    <w:qFormat/>
    <w:uiPriority w:val="0"/>
    <w:pPr>
      <w:spacing w:after="12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ind w:left="200" w:leftChars="200" w:hanging="200" w:hanging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1880</Words>
  <Characters>1894</Characters>
  <Paragraphs>113</Paragraphs>
  <TotalTime>1</TotalTime>
  <ScaleCrop>false</ScaleCrop>
  <LinksUpToDate>false</LinksUpToDate>
  <CharactersWithSpaces>1921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2026-03-30T01:09:00Z</dcterms:created>
  <dc:creator>G</dc:creator>
  <cp:lastModifiedBy>太平阳</cp:lastModifiedBy>
  <cp:lastPrinted>2026-06-03T01:38:29Z</cp:lastPrinted>
  <dcterms:modified xsi:type="dcterms:W3CDTF">2026-06-03T06:49:35Z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eyJoZGlkIjoiNzE0Mjc3YmZiMmZkZDRjNjJiYTNiYjBkYWFmMjM4ZjkiLCJ1c2VySWQiOiIzNjUxOTA2NzIifQ==</vt:lpwstr>
  </property>
  <property fmtid="{D5CDD505-2E9C-101B-9397-08002B2CF9AE}" pid="4" name="ICV">
    <vt:lpwstr>0093153107684960942ADFA075142354_13</vt:lpwstr>
  </property>
</Properties>
</file>