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方正黑体_GBK" w:hAnsi="方正黑体_GBK" w:eastAsia="方正黑体_GBK" w:cs="方正黑体_GBK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highlight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20"/>
          <w:sz w:val="52"/>
          <w:szCs w:val="5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textAlignment w:val="auto"/>
        <w:rPr>
          <w:rFonts w:hint="default" w:ascii="Times New Roman" w:hAnsi="Times New Roman" w:cs="Times New Roman"/>
          <w:sz w:val="52"/>
          <w:szCs w:val="5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52"/>
          <w:szCs w:val="52"/>
          <w:highlight w:val="none"/>
          <w:lang w:val="en-US" w:eastAsia="zh-CN"/>
        </w:rPr>
        <w:t>南川区打造营商环境标杆城市10条措施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b w:val="0"/>
          <w:bCs w:val="0"/>
          <w:sz w:val="74"/>
          <w:szCs w:val="7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b w:val="0"/>
          <w:bCs w:val="0"/>
          <w:sz w:val="74"/>
          <w:szCs w:val="74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74"/>
          <w:szCs w:val="74"/>
          <w:highlight w:val="none"/>
          <w:lang w:val="en-US" w:eastAsia="zh-CN"/>
        </w:rPr>
        <w:t>实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74"/>
          <w:szCs w:val="74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74"/>
          <w:szCs w:val="74"/>
          <w:highlight w:val="none"/>
          <w:lang w:val="en-US" w:eastAsia="zh-CN"/>
        </w:rPr>
        <w:t>施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b w:val="0"/>
          <w:bCs w:val="0"/>
          <w:sz w:val="74"/>
          <w:szCs w:val="74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74"/>
          <w:szCs w:val="74"/>
          <w:highlight w:val="none"/>
          <w:lang w:val="en-US" w:eastAsia="zh-CN"/>
        </w:rPr>
        <w:t>方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b w:val="0"/>
          <w:bCs w:val="0"/>
          <w:sz w:val="74"/>
          <w:szCs w:val="74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74"/>
          <w:szCs w:val="74"/>
          <w:highlight w:val="none"/>
          <w:lang w:val="en-US" w:eastAsia="zh-CN"/>
        </w:rPr>
        <w:t>案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74"/>
          <w:szCs w:val="7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74"/>
          <w:szCs w:val="74"/>
          <w:highlight w:val="none"/>
          <w:lang w:val="en-US" w:eastAsia="zh-CN"/>
        </w:rPr>
        <w:t>汇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74"/>
          <w:szCs w:val="7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74"/>
          <w:szCs w:val="74"/>
          <w:highlight w:val="none"/>
          <w:lang w:val="en-US" w:eastAsia="zh-CN"/>
        </w:rPr>
        <w:t>编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Times New Roman" w:hAnsi="Times New Roman" w:eastAsia="方正楷体_GBK" w:cs="Times New Roman"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default" w:ascii="Times New Roman" w:hAnsi="Times New Roman" w:eastAsia="方正楷体_GBK" w:cs="Times New Roman"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default" w:ascii="Times New Roman" w:hAnsi="Times New Roman" w:eastAsia="方正楷体_GBK" w:cs="Times New Roman"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6"/>
          <w:szCs w:val="36"/>
          <w:highlight w:val="none"/>
          <w:lang w:val="en-US" w:eastAsia="zh-CN"/>
        </w:rPr>
        <w:t>2024年</w:t>
      </w:r>
      <w:r>
        <w:rPr>
          <w:rFonts w:hint="eastAsia" w:ascii="Times New Roman" w:hAnsi="Times New Roman" w:eastAsia="方正楷体_GBK" w:cs="Times New Roman"/>
          <w:sz w:val="36"/>
          <w:szCs w:val="36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楷体_GBK" w:cs="Times New Roman"/>
          <w:sz w:val="36"/>
          <w:szCs w:val="36"/>
          <w:highlight w:val="none"/>
          <w:lang w:val="en-US" w:eastAsia="zh-CN"/>
        </w:rPr>
        <w:t>月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shd w:val="clear" w:color="auto" w:fill="auto"/>
        <w:kinsoku/>
        <w:topLinePunct w:val="0"/>
        <w:bidi w:val="0"/>
        <w:spacing w:before="0" w:beforeLines="0" w:after="0" w:afterLines="0"/>
        <w:ind w:left="0" w:leftChars="0"/>
        <w:rPr>
          <w:rFonts w:hint="default" w:ascii="Times New Roman" w:hAnsi="Times New Roman" w:cs="Times New Roman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default" w:ascii="Times New Roman" w:hAnsi="Times New Roman" w:eastAsia="方正黑体_GBK" w:cs="Times New Roman"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目  录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distribute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企业事“一窗办”实施方案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............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................................................1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distribute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开办企业“近快办”实施方案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.........................................................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distribute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用地审批“一码办”实施方案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..................................................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行政执法“综合查一次”实施方案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.............................................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distribute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水</w:t>
      </w:r>
      <w:r>
        <w:rPr>
          <w:rFonts w:hint="eastAsia" w:ascii="Times New Roman" w:hAnsi="Times New Roman" w:eastAsia="方正仿宋_GBK" w:cs="Times New Roman"/>
          <w:color w:val="000000" w:themeColor="text1"/>
          <w:spacing w:val="-1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电气领域“一表清”实施方案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........................................................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distribute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6.限下招标“双随机”实施方案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........................................................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16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distribute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企呼我为“闭环办”实施方案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........................................................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18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distribute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政府企业“双兑现”实施方案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........................................................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distribute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涉诉企业调解“靠前办”实施方案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..............................................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distribute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814" w:right="1134" w:bottom="1814" w:left="1814" w:header="851" w:footer="992" w:gutter="0"/>
          <w:pgNumType w:fmt="decimal" w:start="1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最佳案例“大家评”实施方案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......................................................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pacing w:val="0"/>
          <w:sz w:val="44"/>
          <w:szCs w:val="44"/>
          <w:highlight w:val="none"/>
          <w:lang w:val="en-US" w:eastAsia="zh-CN"/>
        </w:rPr>
        <w:t>南川区企业事</w:t>
      </w:r>
      <w:r>
        <w:rPr>
          <w:rFonts w:hint="eastAsia" w:ascii="Times New Roman" w:hAnsi="Times New Roman" w:eastAsia="方正小标宋_GBK" w:cs="Times New Roman"/>
          <w:spacing w:val="0"/>
          <w:sz w:val="44"/>
          <w:szCs w:val="44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小标宋_GBK" w:cs="Times New Roman"/>
          <w:spacing w:val="0"/>
          <w:sz w:val="44"/>
          <w:szCs w:val="44"/>
          <w:highlight w:val="none"/>
          <w:lang w:val="en-US" w:eastAsia="zh-CN"/>
        </w:rPr>
        <w:t>一窗办</w:t>
      </w:r>
      <w:r>
        <w:rPr>
          <w:rFonts w:hint="eastAsia" w:ascii="Times New Roman" w:hAnsi="Times New Roman" w:eastAsia="方正小标宋_GBK" w:cs="Times New Roman"/>
          <w:spacing w:val="0"/>
          <w:sz w:val="44"/>
          <w:szCs w:val="44"/>
          <w:highlight w:val="none"/>
          <w:lang w:val="en-US" w:eastAsia="zh-CN"/>
        </w:rPr>
        <w:t>”实施</w:t>
      </w:r>
      <w:r>
        <w:rPr>
          <w:rFonts w:hint="default" w:ascii="Times New Roman" w:hAnsi="Times New Roman" w:eastAsia="方正小标宋_GBK" w:cs="Times New Roman"/>
          <w:spacing w:val="0"/>
          <w:sz w:val="44"/>
          <w:szCs w:val="44"/>
          <w:highlight w:val="none"/>
          <w:lang w:val="en-US" w:eastAsia="zh-CN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区政务办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一、实施目标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进一步提升办事效能，设立企业服务专区，增强帮办代办能力，实现企业办事“一窗办成”。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二、实施步骤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持续提升办事效能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.优化规范审批服务。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涉企政务服务事项办理时限较法定时限压缩90%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完成时间：持续推进。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.深化政务服务“一窗综办”。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按照“前台综合受理、后台分类审批、综合窗口出件”模式，实现“一窗受理、综合服务”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完成时间：2024年5月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.提升涉及企业“一件事一次办”集成服务办理质效。做好市级统筹“一件事”套餐的承接落实，持续“减环节、减时间、减材料、减跑动”。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完成时间：持续推进。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（二）设立“1+N企业服务专区”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1.打造1个“企业之家”服务平台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集成金融服务、惠企政策、协调议事、帮办代办、商务洽谈、诉求接处等功能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在区行政服务中心规划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打造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开放式、会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客式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企业之家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平台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u w:val="none"/>
          <w:lang w:val="en-US" w:eastAsia="zh-CN"/>
        </w:rPr>
        <w:t>完成时间：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2024年5月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2.设立N个“企业服务专区”。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在无差别综合服务区及公安、医保、不动产、人社、公积金等领域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分别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设置涉企服务专窗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（专区）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，开通涉企服务绿色通道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u w:val="none"/>
          <w:lang w:val="en-US" w:eastAsia="zh-CN"/>
        </w:rPr>
        <w:t>完成时间：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2024年5月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（三）推动服务扩面增效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1.增强帮办代办能力。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健全帮办代办体系，打造优质帮办代办队伍，为企业提供政务服务事项全程帮办代办服务。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u w:val="none"/>
          <w:lang w:val="en-US" w:eastAsia="zh-CN"/>
        </w:rPr>
        <w:t>完成时间：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2024年6月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推出“企业工程建设审批全流程一次性告知”等数字应用场景。实现工程建设项目精准化、智慧化服务。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-11"/>
          <w:kern w:val="0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u w:val="none"/>
          <w:lang w:val="en-US" w:eastAsia="zh-CN"/>
        </w:rPr>
        <w:t>完成时间：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2024年6月</w:t>
      </w:r>
    </w:p>
    <w:p>
      <w:pPr>
        <w:pStyle w:val="2"/>
        <w:pageBreakBefore w:val="0"/>
        <w:topLinePunct w:val="0"/>
        <w:bidi w:val="0"/>
        <w:spacing w:before="0" w:beforeLines="0" w:after="0" w:afterLines="0" w:line="560" w:lineRule="exact"/>
        <w:jc w:val="both"/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br w:type="page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both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kern w:val="0"/>
          <w:sz w:val="44"/>
          <w:szCs w:val="44"/>
          <w:highlight w:val="none"/>
          <w:shd w:val="clear" w:color="auto" w:fill="FFFFFF"/>
          <w:lang w:bidi="ar"/>
        </w:rPr>
      </w:pP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  <w:highlight w:val="none"/>
          <w:shd w:val="clear" w:color="auto" w:fill="FFFFFF"/>
          <w:lang w:eastAsia="zh-CN" w:bidi="ar"/>
        </w:rPr>
        <w:t>南川区</w:t>
      </w: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  <w:highlight w:val="none"/>
          <w:shd w:val="clear" w:color="auto" w:fill="FFFFFF"/>
          <w:lang w:bidi="ar"/>
        </w:rPr>
        <w:t>开办企业</w:t>
      </w: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  <w:highlight w:val="none"/>
          <w:shd w:val="clear" w:color="auto" w:fill="FFFFFF"/>
          <w:lang w:eastAsia="zh-CN" w:bidi="ar"/>
        </w:rPr>
        <w:t>“</w:t>
      </w: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  <w:highlight w:val="none"/>
          <w:shd w:val="clear" w:color="auto" w:fill="FFFFFF"/>
          <w:lang w:bidi="ar"/>
        </w:rPr>
        <w:t>近快办</w:t>
      </w: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  <w:highlight w:val="none"/>
          <w:shd w:val="clear" w:color="auto" w:fill="FFFFFF"/>
          <w:lang w:eastAsia="zh-CN" w:bidi="ar"/>
        </w:rPr>
        <w:t>”</w:t>
      </w: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  <w:highlight w:val="none"/>
          <w:shd w:val="clear" w:color="auto" w:fill="FFFFFF"/>
          <w:lang w:bidi="ar"/>
        </w:rPr>
        <w:t>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仿宋_GBK" w:cs="方正仿宋_GBK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区市场监管局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一、实施目标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围绕企业设立登记，为企业提供就近办、全程帮办代办服务，压缩市场主体营业执照办理时限，着力解决市场主体“来回跑”问题，提升市场主体获得感。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二、实施步骤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（一）选设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服务点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bidi="ar"/>
        </w:rPr>
        <w:t>在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  <w:lang w:eastAsia="zh-CN" w:bidi="ar"/>
        </w:rPr>
        <w:t>工业园区龙岩组团、盛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eastAsia="zh-CN" w:bidi="ar"/>
        </w:rPr>
        <w:t>亚祥集群注册地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  <w:lang w:eastAsia="zh-CN" w:bidi="ar"/>
        </w:rPr>
        <w:t>、小青蛙集群注册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eastAsia="zh-CN" w:bidi="ar"/>
        </w:rPr>
        <w:t>地、美佳美建材专业市场、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val="en-US" w:eastAsia="zh-CN" w:bidi="ar"/>
        </w:rPr>
        <w:t>16个镇街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eastAsia="zh-CN" w:bidi="ar"/>
        </w:rPr>
        <w:t>市场监管所（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val="en-US" w:eastAsia="zh-CN" w:bidi="ar"/>
        </w:rPr>
        <w:t>东城、南城、西城、三泉、大观所、黎香湖、兴隆、水江、山王坪、楠竹山、鸣玉所、南平、金山、头渡所、大有、古花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eastAsia="zh-CN" w:bidi="ar"/>
        </w:rPr>
        <w:t>）</w:t>
      </w:r>
      <w:r>
        <w:rPr>
          <w:rFonts w:hint="default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bidi="ar"/>
        </w:rPr>
        <w:t>等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val="en-US" w:eastAsia="zh-CN" w:bidi="ar"/>
        </w:rPr>
        <w:t>20个</w:t>
      </w:r>
      <w:r>
        <w:rPr>
          <w:rFonts w:hint="default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bidi="ar"/>
        </w:rPr>
        <w:t>区域设立开办企业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eastAsia="zh-CN" w:bidi="ar"/>
        </w:rPr>
        <w:t>“</w:t>
      </w:r>
      <w:r>
        <w:rPr>
          <w:rFonts w:hint="default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bidi="ar"/>
        </w:rPr>
        <w:t>近快办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eastAsia="zh-CN" w:bidi="ar"/>
        </w:rPr>
        <w:t>”</w:t>
      </w:r>
      <w:r>
        <w:rPr>
          <w:rFonts w:hint="default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bidi="ar"/>
        </w:rPr>
        <w:t>服务点，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eastAsia="zh-CN" w:bidi="ar"/>
        </w:rPr>
        <w:t>统一悬挂服务点标牌，</w:t>
      </w:r>
      <w:r>
        <w:rPr>
          <w:rFonts w:hint="default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bidi="ar"/>
        </w:rPr>
        <w:t>配置专业人员，提供咨询、指导、帮办等一站式服务。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eastAsia="zh-CN" w:bidi="ar"/>
        </w:rPr>
        <w:t>区市场监管局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val="en-US" w:eastAsia="zh-CN" w:bidi="ar"/>
        </w:rPr>
        <w:t>加大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eastAsia="zh-CN" w:bidi="ar"/>
        </w:rPr>
        <w:t>对各服务点开办企业注册登记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val="en-US" w:eastAsia="zh-CN" w:bidi="ar"/>
        </w:rPr>
        <w:t>情况抽查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eastAsia="zh-CN" w:bidi="ar"/>
        </w:rPr>
        <w:t>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val="en-US" w:eastAsia="zh-CN" w:bidi="ar"/>
        </w:rPr>
        <w:t>督促整改提升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u w:val="none"/>
          <w:lang w:val="en-US" w:eastAsia="zh-CN"/>
        </w:rPr>
        <w:t>完成时限：2024年4月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压缩办理时限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val="en-US" w:eastAsia="zh-CN" w:bidi="ar"/>
        </w:rPr>
        <w:t>公开开办企业“近快办”工作流程（见附件），</w:t>
      </w:r>
      <w:r>
        <w:rPr>
          <w:rFonts w:hint="default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val="en-US" w:eastAsia="zh-CN" w:bidi="ar"/>
        </w:rPr>
        <w:t>持续压缩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val="en-US" w:eastAsia="zh-CN" w:bidi="ar"/>
        </w:rPr>
        <w:t>开办企业营业执照办理</w:t>
      </w:r>
      <w:r>
        <w:rPr>
          <w:rFonts w:hint="default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val="en-US" w:eastAsia="zh-CN" w:bidi="ar"/>
        </w:rPr>
        <w:t>时限，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val="en-US" w:eastAsia="zh-CN" w:bidi="ar"/>
        </w:rPr>
        <w:t>严格执行注册</w:t>
      </w:r>
      <w:r>
        <w:rPr>
          <w:rFonts w:hint="default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val="en-US" w:eastAsia="zh-CN" w:bidi="ar"/>
        </w:rPr>
        <w:t>登记事项限时办结，缩短业务办理时限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val="en-US" w:eastAsia="zh-CN" w:bidi="ar"/>
        </w:rPr>
        <w:t>至0.5天。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u w:val="none"/>
          <w:lang w:val="en-US" w:eastAsia="zh-CN"/>
        </w:rPr>
        <w:t>完成时限：2024年4月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highlight w:val="none"/>
          <w:lang w:val="en-US" w:eastAsia="zh-CN"/>
        </w:rPr>
        <w:sectPr>
          <w:footerReference r:id="rId3" w:type="default"/>
          <w:pgSz w:w="11906" w:h="16838"/>
          <w:pgMar w:top="2098" w:right="1531" w:bottom="1984" w:left="1531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附件：开办企业“近快办”工作流程图</w:t>
      </w:r>
    </w:p>
    <w:p>
      <w:pPr>
        <w:rPr>
          <w:rFonts w:hint="eastAsia" w:ascii="方正黑体_GBK" w:hAnsi="方正黑体_GBK" w:eastAsia="方正黑体_GBK" w:cs="方正黑体_GBK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附件</w:t>
      </w:r>
    </w:p>
    <w:p>
      <w:pPr>
        <w:pStyle w:val="4"/>
        <w:jc w:val="both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drawing>
          <wp:inline distT="0" distB="0" distL="114300" distR="114300">
            <wp:extent cx="5883275" cy="4304030"/>
            <wp:effectExtent l="0" t="0" r="3175" b="1270"/>
            <wp:docPr id="2" name="图片 2" descr="开办企业“近快办”工作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开办企业“近快办”工作流程图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83275" cy="430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</w:p>
    <w:p>
      <w:pPr>
        <w:pStyle w:val="3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0"/>
          <w:sz w:val="44"/>
          <w:szCs w:val="44"/>
          <w:highlight w:val="none"/>
        </w:rPr>
        <w:t>南川区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0"/>
          <w:sz w:val="44"/>
          <w:szCs w:val="44"/>
          <w:highlight w:val="none"/>
          <w:lang w:val="en-US" w:eastAsia="zh-CN"/>
        </w:rPr>
        <w:t>用地审批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0"/>
          <w:sz w:val="44"/>
          <w:szCs w:val="44"/>
          <w:highlight w:val="none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0"/>
          <w:sz w:val="44"/>
          <w:szCs w:val="44"/>
          <w:highlight w:val="none"/>
        </w:rPr>
        <w:t>一码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0"/>
          <w:sz w:val="44"/>
          <w:szCs w:val="44"/>
          <w:highlight w:val="none"/>
          <w:lang w:val="en-US" w:eastAsia="zh-CN"/>
        </w:rPr>
        <w:t>办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0"/>
          <w:sz w:val="44"/>
          <w:szCs w:val="44"/>
          <w:highlight w:val="none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0"/>
          <w:sz w:val="44"/>
          <w:szCs w:val="44"/>
          <w:highlight w:val="none"/>
          <w:lang w:val="en-US" w:eastAsia="zh-CN"/>
        </w:rPr>
        <w:t>实施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0"/>
          <w:sz w:val="44"/>
          <w:szCs w:val="44"/>
          <w:highlight w:val="none"/>
        </w:rPr>
        <w:t>方案</w:t>
      </w:r>
    </w:p>
    <w:p>
      <w:pPr>
        <w:pStyle w:val="3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442" w:beforeLines="100" w:after="442" w:afterLines="100" w:line="560" w:lineRule="exact"/>
        <w:ind w:firstLine="0" w:firstLineChars="0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color w:val="auto"/>
          <w:spacing w:val="0"/>
          <w:sz w:val="32"/>
          <w:szCs w:val="32"/>
          <w:highlight w:val="none"/>
          <w:lang w:val="en-US" w:eastAsia="zh-CN"/>
        </w:rPr>
        <w:t>区规划自然资源局</w:t>
      </w:r>
    </w:p>
    <w:p>
      <w:pPr>
        <w:spacing w:line="48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22"/>
        </w:rPr>
      </w:pPr>
      <w:r>
        <w:rPr>
          <w:rFonts w:hint="eastAsia" w:ascii="方正黑体_GBK" w:hAnsi="方正黑体_GBK" w:eastAsia="方正黑体_GBK" w:cs="方正黑体_GBK"/>
          <w:sz w:val="32"/>
          <w:szCs w:val="22"/>
        </w:rPr>
        <w:t>一、实施目标</w:t>
      </w:r>
    </w:p>
    <w:p>
      <w:pPr>
        <w:overflowPunct w:val="0"/>
        <w:adjustRightInd w:val="0"/>
        <w:snapToGrid w:val="0"/>
        <w:spacing w:line="480" w:lineRule="exact"/>
        <w:ind w:firstLine="643" w:firstLineChars="200"/>
        <w:jc w:val="left"/>
        <w:rPr>
          <w:rFonts w:ascii="Times New Roman" w:hAnsi="Times New Roman" w:eastAsia="方正仿宋_GBK" w:cs="Times New Roman"/>
          <w:sz w:val="32"/>
          <w:szCs w:val="22"/>
        </w:rPr>
      </w:pPr>
      <w:r>
        <w:rPr>
          <w:rFonts w:hint="eastAsia" w:ascii="Times New Roman" w:hAnsi="Times New Roman" w:eastAsia="方正仿宋_GBK" w:cs="Times New Roman"/>
          <w:b/>
          <w:bCs/>
          <w:snapToGrid w:val="0"/>
          <w:kern w:val="0"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</w:rPr>
        <w:t>通过“一码”打通土地全生命周期业务流和数据流，一码串联规划编制、土地供应、规划许可、竣工验收及不动产登记全过程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b/>
          <w:bCs/>
          <w:snapToGrid w:val="0"/>
          <w:kern w:val="0"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签订土地出让合同到办理不动产权证，全流程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环节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由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13个优化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至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6个，提交材料由36件减少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至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12件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，切实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</w:rPr>
        <w:t>提升企业获得感、满意度。</w:t>
      </w:r>
    </w:p>
    <w:p>
      <w:pPr>
        <w:spacing w:line="480" w:lineRule="exact"/>
        <w:ind w:firstLine="640" w:firstLineChars="200"/>
        <w:jc w:val="left"/>
        <w:rPr>
          <w:rFonts w:ascii="方正黑体_GBK" w:hAnsi="方正黑体_GBK" w:eastAsia="方正黑体_GBK" w:cs="方正黑体_GBK"/>
          <w:sz w:val="32"/>
          <w:szCs w:val="22"/>
        </w:rPr>
      </w:pPr>
      <w:r>
        <w:rPr>
          <w:rFonts w:hint="eastAsia" w:ascii="方正黑体_GBK" w:hAnsi="方正黑体_GBK" w:eastAsia="方正黑体_GBK" w:cs="方正黑体_GBK"/>
          <w:sz w:val="32"/>
          <w:szCs w:val="22"/>
        </w:rPr>
        <w:t>二、实施步骤</w:t>
      </w:r>
    </w:p>
    <w:p>
      <w:pPr>
        <w:spacing w:line="480" w:lineRule="exact"/>
        <w:ind w:firstLine="640" w:firstLineChars="200"/>
        <w:jc w:val="left"/>
        <w:rPr>
          <w:rFonts w:ascii="方正黑体_GBK" w:hAnsi="方正黑体_GBK" w:eastAsia="方正黑体_GBK" w:cs="方正黑体_GBK"/>
          <w:sz w:val="32"/>
          <w:szCs w:val="22"/>
        </w:rPr>
      </w:pP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</w:rPr>
        <w:t>（一）土地出让类项目用地“一码办”</w:t>
      </w:r>
      <w:r>
        <w:rPr>
          <w:rFonts w:hint="eastAsia" w:ascii="方正仿宋_GBK" w:hAnsi="Times New Roman" w:eastAsia="方正仿宋_GBK" w:cs="Times New Roman"/>
          <w:sz w:val="32"/>
          <w:szCs w:val="22"/>
        </w:rPr>
        <w:t>在国土空间信息平台全流程运行。</w:t>
      </w:r>
    </w:p>
    <w:p>
      <w:pPr>
        <w:spacing w:line="480" w:lineRule="exact"/>
        <w:ind w:firstLine="640" w:firstLineChars="200"/>
        <w:jc w:val="left"/>
        <w:rPr>
          <w:rFonts w:ascii="方正楷体_GBK" w:hAnsi="Times New Roman" w:eastAsia="方正楷体_GBK" w:cs="Times New Roman"/>
          <w:sz w:val="32"/>
          <w:szCs w:val="22"/>
        </w:rPr>
      </w:pPr>
      <w:r>
        <w:rPr>
          <w:rFonts w:hint="eastAsia" w:ascii="方正楷体_GBK" w:hAnsi="Times New Roman" w:eastAsia="方正楷体_GBK" w:cs="Times New Roman"/>
          <w:sz w:val="32"/>
          <w:szCs w:val="32"/>
        </w:rPr>
        <w:t>完成时间：2024年</w:t>
      </w:r>
      <w:r>
        <w:rPr>
          <w:rFonts w:hint="eastAsia" w:ascii="方正楷体_GBK" w:hAnsi="Times New Roman" w:eastAsia="方正楷体_GBK" w:cs="Times New Roman"/>
          <w:snapToGrid w:val="0"/>
          <w:kern w:val="0"/>
          <w:sz w:val="32"/>
          <w:szCs w:val="32"/>
        </w:rPr>
        <w:t>4月</w:t>
      </w:r>
    </w:p>
    <w:p>
      <w:pPr>
        <w:spacing w:line="480" w:lineRule="exact"/>
        <w:ind w:firstLine="640" w:firstLineChars="200"/>
        <w:jc w:val="left"/>
        <w:rPr>
          <w:rFonts w:ascii="方正楷体_GBK" w:hAnsi="Times New Roman" w:eastAsia="方正楷体_GBK" w:cs="Times New Roman"/>
          <w:sz w:val="32"/>
          <w:szCs w:val="22"/>
        </w:rPr>
      </w:pPr>
      <w:r>
        <w:rPr>
          <w:rFonts w:hint="eastAsia" w:ascii="Times New Roman" w:hAnsi="Times New Roman" w:eastAsia="方正仿宋_GBK" w:cs="Times New Roman"/>
          <w:sz w:val="32"/>
          <w:szCs w:val="22"/>
        </w:rPr>
        <w:t>（二）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</w:rPr>
        <w:t>土地划拨类项目用地“一码办”</w:t>
      </w:r>
      <w:r>
        <w:rPr>
          <w:rFonts w:hint="eastAsia" w:ascii="方正仿宋_GBK" w:hAnsi="Times New Roman" w:eastAsia="方正仿宋_GBK" w:cs="Times New Roman"/>
          <w:sz w:val="32"/>
          <w:szCs w:val="22"/>
        </w:rPr>
        <w:t>在国土空间信息平台全流程运行。</w:t>
      </w:r>
    </w:p>
    <w:p>
      <w:pPr>
        <w:spacing w:line="480" w:lineRule="exact"/>
        <w:ind w:firstLine="640" w:firstLineChars="200"/>
        <w:jc w:val="left"/>
        <w:rPr>
          <w:rFonts w:ascii="方正楷体_GBK" w:hAnsi="Times New Roman" w:eastAsia="方正楷体_GBK" w:cs="Times New Roman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snapToGrid w:val="0"/>
          <w:kern w:val="0"/>
          <w:sz w:val="32"/>
          <w:szCs w:val="32"/>
        </w:rPr>
        <w:t>完成时间：</w:t>
      </w:r>
      <w:r>
        <w:rPr>
          <w:rFonts w:hint="eastAsia" w:ascii="方正楷体_GBK" w:hAnsi="Times New Roman" w:eastAsia="方正楷体_GBK" w:cs="Times New Roman"/>
          <w:sz w:val="32"/>
          <w:szCs w:val="32"/>
        </w:rPr>
        <w:t>2024年</w:t>
      </w:r>
      <w:r>
        <w:rPr>
          <w:rFonts w:hint="eastAsia" w:ascii="方正楷体_GBK" w:hAnsi="Times New Roman" w:eastAsia="方正楷体_GBK" w:cs="Times New Roman"/>
          <w:snapToGrid w:val="0"/>
          <w:kern w:val="0"/>
          <w:sz w:val="32"/>
          <w:szCs w:val="32"/>
        </w:rPr>
        <w:t>9月</w:t>
      </w:r>
    </w:p>
    <w:p>
      <w:pPr>
        <w:spacing w:line="480" w:lineRule="exact"/>
        <w:ind w:firstLine="640" w:firstLineChars="20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（三）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完善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咨询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服务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。设立企业用地审批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</w:rPr>
        <w:t>“一码办”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热线电话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023-71422479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在政务大厅规划自然资源窗口设置专人咨询服务。</w:t>
      </w:r>
    </w:p>
    <w:p>
      <w:pPr>
        <w:spacing w:line="480" w:lineRule="exact"/>
        <w:ind w:firstLine="640" w:firstLineChars="20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完成时间：</w:t>
      </w:r>
      <w:r>
        <w:rPr>
          <w:rFonts w:hint="eastAsia" w:ascii="方正楷体_GBK" w:hAnsi="Times New Roman" w:eastAsia="方正楷体_GBK" w:cs="Times New Roman"/>
          <w:sz w:val="32"/>
          <w:szCs w:val="32"/>
        </w:rPr>
        <w:t>2024年</w:t>
      </w:r>
      <w:r>
        <w:rPr>
          <w:rFonts w:hint="eastAsia" w:ascii="方正楷体_GBK" w:hAnsi="Times New Roman" w:eastAsia="方正楷体_GBK" w:cs="Times New Roman"/>
          <w:snapToGrid w:val="0"/>
          <w:kern w:val="0"/>
          <w:sz w:val="32"/>
          <w:szCs w:val="32"/>
        </w:rPr>
        <w:t>4月</w:t>
      </w:r>
    </w:p>
    <w:p>
      <w:pPr>
        <w:spacing w:line="540" w:lineRule="exact"/>
        <w:rPr>
          <w:rFonts w:hint="eastAsia" w:ascii="Times New Roman" w:hAnsi="Times New Roman" w:eastAsia="方正仿宋_GBK" w:cs="Times New Roman"/>
          <w:sz w:val="32"/>
          <w:szCs w:val="22"/>
        </w:rPr>
      </w:pPr>
    </w:p>
    <w:p>
      <w:pPr>
        <w:spacing w:line="54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22"/>
        </w:rPr>
      </w:pPr>
      <w:r>
        <w:rPr>
          <w:rFonts w:hint="eastAsia" w:ascii="Times New Roman" w:hAnsi="Times New Roman" w:eastAsia="方正仿宋_GBK" w:cs="Times New Roman"/>
          <w:sz w:val="32"/>
          <w:szCs w:val="22"/>
        </w:rPr>
        <w:t>附件：</w:t>
      </w:r>
      <w:r>
        <w:rPr>
          <w:rFonts w:hint="eastAsia" w:ascii="Times New Roman" w:hAnsi="Times New Roman" w:eastAsia="方正仿宋_GBK" w:cs="Times New Roman"/>
          <w:sz w:val="32"/>
          <w:szCs w:val="22"/>
          <w:lang w:eastAsia="zh-CN"/>
        </w:rPr>
        <w:t>“</w:t>
      </w:r>
      <w:r>
        <w:rPr>
          <w:rFonts w:hint="eastAsia" w:ascii="Times New Roman" w:hAnsi="Times New Roman" w:eastAsia="方正仿宋_GBK" w:cs="Times New Roman"/>
          <w:sz w:val="32"/>
          <w:szCs w:val="22"/>
        </w:rPr>
        <w:t>一码</w:t>
      </w:r>
      <w:r>
        <w:rPr>
          <w:rFonts w:hint="eastAsia" w:ascii="Times New Roman" w:hAnsi="Times New Roman" w:eastAsia="方正仿宋_GBK" w:cs="Times New Roman"/>
          <w:sz w:val="32"/>
          <w:szCs w:val="22"/>
          <w:lang w:eastAsia="zh-CN"/>
        </w:rPr>
        <w:t>办”</w:t>
      </w:r>
      <w:r>
        <w:rPr>
          <w:rFonts w:hint="eastAsia" w:ascii="Times New Roman" w:hAnsi="Times New Roman" w:eastAsia="方正仿宋_GBK" w:cs="Times New Roman"/>
          <w:sz w:val="32"/>
          <w:szCs w:val="22"/>
        </w:rPr>
        <w:t>各环节材料清单</w:t>
      </w:r>
    </w:p>
    <w:p>
      <w:pPr>
        <w:spacing w:line="560" w:lineRule="exact"/>
        <w:rPr>
          <w:rFonts w:hint="eastAsia" w:ascii="方正黑体_GBK" w:hAnsi="方正黑体_GBK" w:eastAsia="方正黑体_GBK" w:cs="方正黑体_GBK"/>
          <w:sz w:val="28"/>
          <w:szCs w:val="28"/>
        </w:rPr>
      </w:pPr>
    </w:p>
    <w:p>
      <w:pPr>
        <w:spacing w:line="560" w:lineRule="exact"/>
        <w:rPr>
          <w:rFonts w:hint="eastAsia" w:ascii="方正黑体_GBK" w:hAnsi="方正黑体_GBK" w:eastAsia="方正黑体_GBK" w:cs="方正黑体_GBK"/>
          <w:sz w:val="28"/>
          <w:szCs w:val="28"/>
        </w:rPr>
      </w:pPr>
    </w:p>
    <w:p>
      <w:pPr>
        <w:spacing w:line="560" w:lineRule="exact"/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附件</w:t>
      </w:r>
    </w:p>
    <w:p>
      <w:pPr>
        <w:spacing w:line="560" w:lineRule="exact"/>
        <w:rPr>
          <w:rFonts w:hint="eastAsia" w:ascii="方正黑体_GBK" w:hAnsi="方正黑体_GBK" w:eastAsia="方正黑体_GBK" w:cs="方正黑体_GBK"/>
          <w:sz w:val="28"/>
          <w:szCs w:val="28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一码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办”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各环节材料清单</w:t>
      </w:r>
    </w:p>
    <w:tbl>
      <w:tblPr>
        <w:tblStyle w:val="17"/>
        <w:tblW w:w="9735" w:type="dxa"/>
        <w:tblInd w:w="-2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840"/>
        <w:gridCol w:w="2665"/>
        <w:gridCol w:w="819"/>
        <w:gridCol w:w="1065"/>
        <w:gridCol w:w="825"/>
        <w:gridCol w:w="1361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00" w:type="dxa"/>
            <w:vMerge w:val="restart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1"/>
                <w:szCs w:val="21"/>
              </w:rPr>
              <w:t>序号</w:t>
            </w:r>
          </w:p>
        </w:tc>
        <w:tc>
          <w:tcPr>
            <w:tcW w:w="84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1"/>
                <w:szCs w:val="21"/>
              </w:rPr>
              <w:t>环</w:t>
            </w:r>
          </w:p>
          <w:p>
            <w:pPr>
              <w:overflowPunct w:val="0"/>
              <w:snapToGrid w:val="0"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1"/>
                <w:szCs w:val="21"/>
              </w:rPr>
              <w:t>节</w:t>
            </w:r>
          </w:p>
        </w:tc>
        <w:tc>
          <w:tcPr>
            <w:tcW w:w="5374" w:type="dxa"/>
            <w:gridSpan w:val="4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20" w:firstLineChars="200"/>
              <w:jc w:val="center"/>
              <w:rPr>
                <w:rFonts w:hint="eastAsia" w:ascii="方正黑体_GBK" w:hAnsi="方正黑体_GBK" w:eastAsia="方正黑体_GBK" w:cs="方正黑体_GBK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1"/>
                <w:szCs w:val="21"/>
              </w:rPr>
              <w:t>申报材料</w:t>
            </w:r>
          </w:p>
        </w:tc>
        <w:tc>
          <w:tcPr>
            <w:tcW w:w="136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1"/>
                <w:szCs w:val="21"/>
              </w:rPr>
              <w:t>办理成果</w:t>
            </w:r>
          </w:p>
        </w:tc>
        <w:tc>
          <w:tcPr>
            <w:tcW w:w="15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1"/>
                <w:szCs w:val="21"/>
              </w:rPr>
              <w:t>最终成效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00" w:type="dxa"/>
            <w:vMerge w:val="continue"/>
            <w:noWrap w:val="0"/>
            <w:vAlign w:val="top"/>
          </w:tcPr>
          <w:p>
            <w:pPr>
              <w:overflowPunct w:val="0"/>
              <w:snapToGrid w:val="0"/>
              <w:spacing w:line="300" w:lineRule="exact"/>
              <w:ind w:firstLine="420" w:firstLineChars="200"/>
              <w:jc w:val="center"/>
              <w:rPr>
                <w:rFonts w:hint="eastAsia" w:ascii="方正黑体_GBK" w:hAnsi="方正黑体_GBK" w:eastAsia="方正黑体_GBK" w:cs="方正黑体_GBK"/>
                <w:bCs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20" w:firstLineChars="200"/>
              <w:jc w:val="center"/>
              <w:rPr>
                <w:rFonts w:hint="eastAsia" w:ascii="方正黑体_GBK" w:hAnsi="方正黑体_GBK" w:eastAsia="方正黑体_GBK" w:cs="方正黑体_GBK"/>
                <w:bCs/>
                <w:kern w:val="0"/>
                <w:sz w:val="21"/>
                <w:szCs w:val="21"/>
              </w:rPr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20" w:firstLineChars="200"/>
              <w:jc w:val="center"/>
              <w:rPr>
                <w:rFonts w:hint="eastAsia" w:ascii="方正黑体_GBK" w:hAnsi="方正黑体_GBK" w:eastAsia="方正黑体_GBK" w:cs="方正黑体_GBK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1"/>
                <w:szCs w:val="21"/>
              </w:rPr>
              <w:t>材料名称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1"/>
                <w:szCs w:val="21"/>
              </w:rPr>
              <w:t>改变做法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1"/>
                <w:szCs w:val="21"/>
              </w:rPr>
              <w:t>来源</w:t>
            </w:r>
          </w:p>
          <w:p>
            <w:pPr>
              <w:overflowPunct w:val="0"/>
              <w:snapToGrid w:val="0"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1"/>
                <w:szCs w:val="21"/>
              </w:rPr>
              <w:t>渠道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1"/>
                <w:szCs w:val="21"/>
              </w:rPr>
              <w:t>获取方式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20" w:firstLineChars="200"/>
              <w:jc w:val="center"/>
              <w:rPr>
                <w:rFonts w:hint="eastAsia" w:ascii="方正黑体_GBK" w:hAnsi="方正黑体_GBK" w:eastAsia="方正黑体_GBK" w:cs="方正黑体_GBK"/>
                <w:bCs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20" w:firstLineChars="200"/>
              <w:jc w:val="center"/>
              <w:rPr>
                <w:rFonts w:hint="eastAsia" w:ascii="方正黑体_GBK" w:hAnsi="方正黑体_GBK" w:eastAsia="方正黑体_GBK" w:cs="方正黑体_GBK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00" w:type="dxa"/>
            <w:vMerge w:val="restart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840" w:type="dxa"/>
            <w:vMerge w:val="restart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用地规划条件集成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1.用地清单初步成果</w:t>
            </w:r>
          </w:p>
        </w:tc>
        <w:tc>
          <w:tcPr>
            <w:tcW w:w="819" w:type="dxa"/>
            <w:vMerge w:val="restart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保留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储备机构提供</w:t>
            </w:r>
          </w:p>
        </w:tc>
        <w:tc>
          <w:tcPr>
            <w:tcW w:w="825" w:type="dxa"/>
            <w:vMerge w:val="restart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61" w:type="dxa"/>
            <w:vMerge w:val="restart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1.用地清单</w:t>
            </w:r>
          </w:p>
          <w:p>
            <w:pPr>
              <w:overflowPunct w:val="0"/>
              <w:snapToGrid w:val="0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2.加盖公章的《用地地籍调查报告》</w:t>
            </w:r>
          </w:p>
          <w:p>
            <w:pPr>
              <w:overflowPunct w:val="0"/>
              <w:snapToGrid w:val="0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3.规划条件及附图</w:t>
            </w:r>
          </w:p>
        </w:tc>
        <w:tc>
          <w:tcPr>
            <w:tcW w:w="1560" w:type="dxa"/>
            <w:vMerge w:val="restart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一次发起，并行办理用地清单、勘测定界及地籍调查、规划条件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2.用地地籍调查报告初步成果</w:t>
            </w:r>
          </w:p>
        </w:tc>
        <w:tc>
          <w:tcPr>
            <w:tcW w:w="819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3.1：500现状地形图（含地下管网及地下建（构）筑物）</w:t>
            </w:r>
          </w:p>
        </w:tc>
        <w:tc>
          <w:tcPr>
            <w:tcW w:w="819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restart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2</w:t>
            </w:r>
          </w:p>
        </w:tc>
        <w:tc>
          <w:tcPr>
            <w:tcW w:w="840" w:type="dxa"/>
            <w:vMerge w:val="restart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土地出让合同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1.受让人关于签订出让合同的申请</w:t>
            </w:r>
          </w:p>
        </w:tc>
        <w:tc>
          <w:tcPr>
            <w:tcW w:w="819" w:type="dxa"/>
            <w:vMerge w:val="restart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免提交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交易中心移交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61" w:type="dxa"/>
            <w:vMerge w:val="restart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土地出让合同</w:t>
            </w:r>
          </w:p>
        </w:tc>
        <w:tc>
          <w:tcPr>
            <w:tcW w:w="1560" w:type="dxa"/>
            <w:vMerge w:val="restart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5项减为1项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2.申请人身份证明材料</w:t>
            </w:r>
          </w:p>
        </w:tc>
        <w:tc>
          <w:tcPr>
            <w:tcW w:w="819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交易中心移交</w:t>
            </w:r>
          </w:p>
        </w:tc>
        <w:tc>
          <w:tcPr>
            <w:tcW w:w="825" w:type="dxa"/>
            <w:vMerge w:val="restart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内部共享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3.营业执照</w:t>
            </w:r>
          </w:p>
        </w:tc>
        <w:tc>
          <w:tcPr>
            <w:tcW w:w="819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4.成交确认书</w:t>
            </w:r>
          </w:p>
        </w:tc>
        <w:tc>
          <w:tcPr>
            <w:tcW w:w="819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5.不动产登记申请书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前置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申请人提供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一窗收取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restart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3</w:t>
            </w:r>
          </w:p>
        </w:tc>
        <w:tc>
          <w:tcPr>
            <w:tcW w:w="840" w:type="dxa"/>
            <w:vMerge w:val="restart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建设用地规划许可证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1.建设项目规划管理报建申请表</w:t>
            </w:r>
          </w:p>
        </w:tc>
        <w:tc>
          <w:tcPr>
            <w:tcW w:w="819" w:type="dxa"/>
            <w:vMerge w:val="restart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免提交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国土空间信息平台</w:t>
            </w:r>
          </w:p>
        </w:tc>
        <w:tc>
          <w:tcPr>
            <w:tcW w:w="825" w:type="dxa"/>
            <w:vMerge w:val="restart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内部共享</w:t>
            </w:r>
          </w:p>
        </w:tc>
        <w:tc>
          <w:tcPr>
            <w:tcW w:w="1361" w:type="dxa"/>
            <w:vMerge w:val="restart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建设用地规划许可证</w:t>
            </w:r>
          </w:p>
        </w:tc>
        <w:tc>
          <w:tcPr>
            <w:tcW w:w="1560" w:type="dxa"/>
            <w:vMerge w:val="restart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零次跑、零材料，领取用地规划许可证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2.主管部门的批准、核准、备案文件</w:t>
            </w:r>
          </w:p>
        </w:tc>
        <w:tc>
          <w:tcPr>
            <w:tcW w:w="819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3.申请人身份证明材料</w:t>
            </w:r>
          </w:p>
        </w:tc>
        <w:tc>
          <w:tcPr>
            <w:tcW w:w="819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4.1：500现状地形图（含地下管网及地下建（构）筑物）（如现势性时限超一年须由企业提供）</w:t>
            </w:r>
          </w:p>
        </w:tc>
        <w:tc>
          <w:tcPr>
            <w:tcW w:w="819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restart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4</w:t>
            </w:r>
          </w:p>
        </w:tc>
        <w:tc>
          <w:tcPr>
            <w:tcW w:w="840" w:type="dxa"/>
            <w:vMerge w:val="restart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出让国有建设用地使用权首次登记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1.不动产登记申请书</w:t>
            </w:r>
          </w:p>
        </w:tc>
        <w:tc>
          <w:tcPr>
            <w:tcW w:w="819" w:type="dxa"/>
            <w:vMerge w:val="restart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免</w:t>
            </w:r>
          </w:p>
          <w:p>
            <w:pPr>
              <w:overflowPunct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提交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国土空间信息平台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内部共享</w:t>
            </w:r>
          </w:p>
        </w:tc>
        <w:tc>
          <w:tcPr>
            <w:tcW w:w="1361" w:type="dxa"/>
            <w:vMerge w:val="restart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不动产权证</w:t>
            </w:r>
          </w:p>
        </w:tc>
        <w:tc>
          <w:tcPr>
            <w:tcW w:w="1560" w:type="dxa"/>
            <w:vMerge w:val="restart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零次跑、零材料，领取不动产权证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2.土地出让价款缴纳凭证和完税凭证</w:t>
            </w:r>
          </w:p>
        </w:tc>
        <w:tc>
          <w:tcPr>
            <w:tcW w:w="819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非税系统、税务系统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接口共享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3.申请人身份证明材料</w:t>
            </w:r>
          </w:p>
        </w:tc>
        <w:tc>
          <w:tcPr>
            <w:tcW w:w="819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国土空间信息平台</w:t>
            </w:r>
          </w:p>
        </w:tc>
        <w:tc>
          <w:tcPr>
            <w:tcW w:w="825" w:type="dxa"/>
            <w:vMerge w:val="restart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内部共享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4.国有建设用地使用权出让合同、用地红线图</w:t>
            </w:r>
          </w:p>
        </w:tc>
        <w:tc>
          <w:tcPr>
            <w:tcW w:w="819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5.不动产权籍调查表、宗地图以及宗地界址点坐标</w:t>
            </w:r>
          </w:p>
        </w:tc>
        <w:tc>
          <w:tcPr>
            <w:tcW w:w="819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不动产登记系统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内部共享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restart"/>
            <w:noWrap w:val="0"/>
            <w:vAlign w:val="center"/>
          </w:tcPr>
          <w:p>
            <w:pPr>
              <w:overflowPunct w:val="0"/>
              <w:snapToGrid w:val="0"/>
              <w:spacing w:line="28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5</w:t>
            </w:r>
          </w:p>
        </w:tc>
        <w:tc>
          <w:tcPr>
            <w:tcW w:w="840" w:type="dxa"/>
            <w:vMerge w:val="restart"/>
            <w:noWrap w:val="0"/>
            <w:vAlign w:val="center"/>
          </w:tcPr>
          <w:p>
            <w:pPr>
              <w:overflowPunct w:val="0"/>
              <w:snapToGrid w:val="0"/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建设工程规划许可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overflowPunct w:val="0"/>
              <w:snapToGrid w:val="0"/>
              <w:spacing w:line="28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1.建设项目规划管理报建申请表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overflowPunct w:val="0"/>
              <w:snapToGrid w:val="0"/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保留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overflowPunct w:val="0"/>
              <w:snapToGrid w:val="0"/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申请人提供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overflowPunct w:val="0"/>
              <w:snapToGrid w:val="0"/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一窗收取</w:t>
            </w:r>
          </w:p>
        </w:tc>
        <w:tc>
          <w:tcPr>
            <w:tcW w:w="1361" w:type="dxa"/>
            <w:vMerge w:val="restart"/>
            <w:noWrap w:val="0"/>
            <w:vAlign w:val="center"/>
          </w:tcPr>
          <w:p>
            <w:pPr>
              <w:overflowPunct w:val="0"/>
              <w:snapToGrid w:val="0"/>
              <w:spacing w:line="28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建设工程</w:t>
            </w:r>
          </w:p>
          <w:p>
            <w:pPr>
              <w:overflowPunct w:val="0"/>
              <w:snapToGrid w:val="0"/>
              <w:spacing w:line="28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规划许可证</w:t>
            </w:r>
          </w:p>
        </w:tc>
        <w:tc>
          <w:tcPr>
            <w:tcW w:w="1560" w:type="dxa"/>
            <w:vMerge w:val="restart"/>
            <w:noWrap w:val="0"/>
            <w:vAlign w:val="center"/>
          </w:tcPr>
          <w:p>
            <w:pPr>
              <w:overflowPunct w:val="0"/>
              <w:snapToGrid w:val="0"/>
              <w:spacing w:line="28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10项减为3项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280" w:lineRule="exact"/>
              <w:ind w:firstLine="480" w:firstLineChars="200"/>
              <w:jc w:val="center"/>
              <w:rPr>
                <w:rFonts w:ascii="宋体" w:hAnsi="宋体" w:eastAsia="方正仿宋_GBK" w:cs="宋体"/>
                <w:kern w:val="0"/>
                <w:sz w:val="24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280" w:lineRule="exact"/>
              <w:ind w:firstLine="480" w:firstLineChars="200"/>
              <w:jc w:val="center"/>
              <w:rPr>
                <w:rFonts w:ascii="宋体" w:hAnsi="宋体" w:eastAsia="方正仿宋_GBK" w:cs="宋体"/>
                <w:kern w:val="0"/>
                <w:sz w:val="24"/>
              </w:rPr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overflowPunct w:val="0"/>
              <w:snapToGrid w:val="0"/>
              <w:spacing w:line="28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2.申请人身份证明材料或委托代为申请的应提供委托书（如申请建设项目用地预审与选址意见书或用地许可时已提供，无需再提供）</w:t>
            </w:r>
          </w:p>
        </w:tc>
        <w:tc>
          <w:tcPr>
            <w:tcW w:w="819" w:type="dxa"/>
            <w:vMerge w:val="restart"/>
            <w:noWrap w:val="0"/>
            <w:vAlign w:val="center"/>
          </w:tcPr>
          <w:p>
            <w:pPr>
              <w:overflowPunct w:val="0"/>
              <w:snapToGrid w:val="0"/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免</w:t>
            </w:r>
          </w:p>
          <w:p>
            <w:pPr>
              <w:overflowPunct w:val="0"/>
              <w:snapToGrid w:val="0"/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提交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overflowPunct w:val="0"/>
              <w:snapToGrid w:val="0"/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公安局或市场监管局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overflowPunct w:val="0"/>
              <w:snapToGrid w:val="0"/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接口共享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280" w:lineRule="exact"/>
              <w:ind w:firstLine="480" w:firstLineChars="200"/>
              <w:jc w:val="left"/>
              <w:rPr>
                <w:rFonts w:ascii="宋体" w:hAnsi="宋体" w:eastAsia="方正仿宋_GBK" w:cs="宋体"/>
                <w:kern w:val="0"/>
                <w:sz w:val="24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280" w:lineRule="exact"/>
              <w:ind w:firstLine="480" w:firstLineChars="200"/>
              <w:jc w:val="left"/>
              <w:rPr>
                <w:rFonts w:ascii="宋体" w:hAnsi="宋体" w:eastAsia="方正仿宋_GBK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3.1：500现状地形图（含地下管网及地下建（构）筑物）（如现势性时限超一年，需由申请人提供）</w:t>
            </w:r>
          </w:p>
        </w:tc>
        <w:tc>
          <w:tcPr>
            <w:tcW w:w="819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用地规划条件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内部共享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4.建设工程设计方案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保留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申请人提供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一窗收取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5.三维仿真建筑精模</w:t>
            </w:r>
          </w:p>
        </w:tc>
        <w:tc>
          <w:tcPr>
            <w:tcW w:w="819" w:type="dxa"/>
            <w:vMerge w:val="restart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合并到建设工程设计方案中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申请人提供</w:t>
            </w:r>
          </w:p>
        </w:tc>
        <w:tc>
          <w:tcPr>
            <w:tcW w:w="825" w:type="dxa"/>
            <w:vMerge w:val="restart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一窗收取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6.建设工程建筑面积及计容建筑面积明细表</w:t>
            </w:r>
          </w:p>
        </w:tc>
        <w:tc>
          <w:tcPr>
            <w:tcW w:w="819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7.外立面装饰细化设计图</w:t>
            </w:r>
          </w:p>
        </w:tc>
        <w:tc>
          <w:tcPr>
            <w:tcW w:w="819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8.建设工程技术经济指标计算书</w:t>
            </w:r>
          </w:p>
        </w:tc>
        <w:tc>
          <w:tcPr>
            <w:tcW w:w="819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9.土地使用证明文件及附图（未录入不动产登记系统的，需由申请人提供）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免提交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不动产登记系统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内部共享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10.工业仓储类建筑工程告知承诺书（企业选择以告知承诺方式办理提供该材料）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保留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申请人提供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一窗收取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0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restart"/>
            <w:noWrap w:val="0"/>
            <w:vAlign w:val="center"/>
          </w:tcPr>
          <w:p>
            <w:pPr>
              <w:overflowPunct w:val="0"/>
              <w:snapToGrid w:val="0"/>
              <w:spacing w:line="28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6</w:t>
            </w:r>
          </w:p>
        </w:tc>
        <w:tc>
          <w:tcPr>
            <w:tcW w:w="840" w:type="dxa"/>
            <w:vMerge w:val="restart"/>
            <w:noWrap w:val="0"/>
            <w:vAlign w:val="center"/>
          </w:tcPr>
          <w:p>
            <w:pPr>
              <w:overflowPunct w:val="0"/>
              <w:snapToGrid w:val="0"/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建设工程规划核验（验收）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overflowPunct w:val="0"/>
              <w:snapToGrid w:val="0"/>
              <w:spacing w:line="28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1.多测合一测绘成果（社会投资小型低风险建设项目不需提供本项材料，特殊工程和交通、水利、能源等领域的重大工程提供竣工规划核实测量报告。）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overflowPunct w:val="0"/>
              <w:snapToGrid w:val="0"/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保留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overflowPunct w:val="0"/>
              <w:snapToGrid w:val="0"/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多测合一成果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overflowPunct w:val="0"/>
              <w:snapToGrid w:val="0"/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接口共享</w:t>
            </w:r>
          </w:p>
        </w:tc>
        <w:tc>
          <w:tcPr>
            <w:tcW w:w="1361" w:type="dxa"/>
            <w:vMerge w:val="restart"/>
            <w:noWrap w:val="0"/>
            <w:vAlign w:val="center"/>
          </w:tcPr>
          <w:p>
            <w:pPr>
              <w:overflowPunct w:val="0"/>
              <w:snapToGrid w:val="0"/>
              <w:spacing w:line="28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《建设工程竣工规划核实确认书》</w:t>
            </w:r>
          </w:p>
        </w:tc>
        <w:tc>
          <w:tcPr>
            <w:tcW w:w="1560" w:type="dxa"/>
            <w:vMerge w:val="restart"/>
            <w:noWrap w:val="0"/>
            <w:vAlign w:val="center"/>
          </w:tcPr>
          <w:p>
            <w:pPr>
              <w:overflowPunct w:val="0"/>
              <w:snapToGrid w:val="0"/>
              <w:spacing w:line="28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3项减为2项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28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28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overflowPunct w:val="0"/>
              <w:snapToGrid w:val="0"/>
              <w:spacing w:line="28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2.申请人身份证明材料（仅用于核对身份，若与上申报阶段提供一致且符合要求的则可不提供）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overflowPunct w:val="0"/>
              <w:snapToGrid w:val="0"/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免提交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overflowPunct w:val="0"/>
              <w:snapToGrid w:val="0"/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公安局或市场监管局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overflowPunct w:val="0"/>
              <w:snapToGrid w:val="0"/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接口共享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28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28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3.重庆市房屋建筑和市政基础设施工程竣工联合验收申报表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保留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申请人提供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一窗收取</w:t>
            </w:r>
          </w:p>
        </w:tc>
        <w:tc>
          <w:tcPr>
            <w:tcW w:w="1361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restart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7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7</w:t>
            </w:r>
          </w:p>
        </w:tc>
        <w:tc>
          <w:tcPr>
            <w:tcW w:w="840" w:type="dxa"/>
            <w:vMerge w:val="restart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国有建设用地使用权及房屋所有权首次登记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1.不动产登记申请书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保留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申请人提供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一窗收取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60" w:type="dxa"/>
            <w:vMerge w:val="restart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6项减为3项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2.申请人身份证明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免提交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公安局或市场监管局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接口共享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3.《建设工程竣工规划核实确认书》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免</w:t>
            </w:r>
          </w:p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提交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国土空间信息平台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内部共享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4.房地产调查报告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保留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申请人提供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一窗收取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5.属集资建房或经济适用房的应提交有权部门的批准文件，属联建项目的应提交联建及房屋分配协议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保留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申请人提供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一窗收取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ind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6.不动产权属证书或土地权属来源材料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免</w:t>
            </w:r>
          </w:p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提交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不动产登记系统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内部共享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overflowPunct w:val="0"/>
              <w:snapToGrid w:val="0"/>
              <w:spacing w:line="32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</w:tbl>
    <w:p>
      <w:pPr>
        <w:rPr>
          <w:rFonts w:hint="default"/>
          <w:highlight w:val="none"/>
        </w:rPr>
      </w:pPr>
      <w:r>
        <w:rPr>
          <w:rFonts w:hint="default"/>
          <w:highlight w:val="none"/>
        </w:rPr>
        <w:br w:type="page"/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560" w:lineRule="exact"/>
        <w:ind w:left="0" w:leftChars="0" w:right="0"/>
        <w:jc w:val="both"/>
        <w:textAlignment w:val="baseline"/>
        <w:rPr>
          <w:rFonts w:hint="eastAsia" w:ascii="Times New Roman" w:hAnsi="Times New Roman" w:eastAsia="方正小标宋_GBK" w:cs="Times New Roman"/>
          <w:b w:val="0"/>
          <w:bCs w:val="0"/>
          <w:snapToGrid/>
          <w:color w:val="auto"/>
          <w:spacing w:val="4"/>
          <w:kern w:val="0"/>
          <w:sz w:val="44"/>
          <w:szCs w:val="44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80" w:lineRule="exact"/>
        <w:ind w:left="0" w:leftChars="0" w:right="0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 w:val="0"/>
          <w:snapToGrid/>
          <w:color w:val="auto"/>
          <w:spacing w:val="4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napToGrid/>
          <w:color w:val="auto"/>
          <w:spacing w:val="4"/>
          <w:kern w:val="0"/>
          <w:sz w:val="44"/>
          <w:szCs w:val="44"/>
          <w:highlight w:val="none"/>
          <w:lang w:val="en-US" w:eastAsia="zh-CN" w:bidi="ar"/>
        </w:rPr>
        <w:t>南川区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auto"/>
          <w:spacing w:val="4"/>
          <w:kern w:val="0"/>
          <w:sz w:val="44"/>
          <w:szCs w:val="44"/>
          <w:highlight w:val="none"/>
          <w:lang w:val="en-US" w:eastAsia="zh-CN" w:bidi="ar"/>
        </w:rPr>
        <w:t>“综合查一次”</w:t>
      </w:r>
      <w:r>
        <w:rPr>
          <w:rFonts w:hint="default" w:ascii="Times New Roman" w:hAnsi="Times New Roman" w:eastAsia="方正小标宋_GBK" w:cs="Times New Roman"/>
          <w:b w:val="0"/>
          <w:bCs w:val="0"/>
          <w:snapToGrid/>
          <w:color w:val="auto"/>
          <w:spacing w:val="4"/>
          <w:kern w:val="0"/>
          <w:sz w:val="44"/>
          <w:szCs w:val="44"/>
          <w:highlight w:val="none"/>
          <w:lang w:val="en-US" w:eastAsia="zh-CN" w:bidi="ar"/>
        </w:rPr>
        <w:t>实施方案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6" w:beforeLines="100" w:beforeAutospacing="0" w:after="316" w:afterLines="100" w:afterAutospacing="0" w:line="580" w:lineRule="exact"/>
        <w:ind w:left="0" w:leftChars="0" w:right="0"/>
        <w:jc w:val="center"/>
        <w:textAlignment w:val="baseline"/>
        <w:rPr>
          <w:rFonts w:hint="default" w:ascii="方正楷体_GBK" w:hAnsi="方正楷体_GBK" w:eastAsia="方正楷体_GBK" w:cs="方正楷体_GBK"/>
          <w:b w:val="0"/>
          <w:bCs w:val="0"/>
          <w:snapToGrid/>
          <w:color w:val="auto"/>
          <w:spacing w:val="4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napToGrid/>
          <w:color w:val="auto"/>
          <w:spacing w:val="4"/>
          <w:kern w:val="0"/>
          <w:sz w:val="32"/>
          <w:szCs w:val="32"/>
          <w:highlight w:val="none"/>
          <w:lang w:val="en-US" w:eastAsia="zh-CN" w:bidi="ar"/>
        </w:rPr>
        <w:t>区司法局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一、实施目标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在园区范围内实行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综合查一次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组团式执法，实现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进一次门、查多项事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打破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随意执法、重复执法、多头执法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等现状，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切实降低企业迎检频次。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二、实施步骤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eastAsia="宋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Times New Roman" w:hAnsi="Times New Roman" w:eastAsia="方正楷体_GBK" w:cs="Times New Roman"/>
          <w:b w:val="0"/>
          <w:bCs w:val="0"/>
          <w:kern w:val="0"/>
          <w:sz w:val="32"/>
          <w:szCs w:val="32"/>
          <w:lang w:val="en-US" w:eastAsia="zh-CN"/>
        </w:rPr>
        <w:t>建立</w:t>
      </w:r>
      <w:r>
        <w:rPr>
          <w:rFonts w:hint="default" w:ascii="Times New Roman" w:hAnsi="Times New Roman" w:eastAsia="方正楷体_GBK" w:cs="Times New Roman"/>
          <w:snapToGrid/>
          <w:color w:val="auto"/>
          <w:kern w:val="0"/>
          <w:sz w:val="32"/>
          <w:szCs w:val="32"/>
          <w:shd w:val="clear" w:fill="FFFFFF"/>
          <w:lang w:val="en-US" w:eastAsia="zh-CN" w:bidi="ar"/>
        </w:rPr>
        <w:t>应用场景清单</w:t>
      </w:r>
      <w:r>
        <w:rPr>
          <w:rFonts w:hint="eastAsia" w:ascii="Times New Roman" w:hAnsi="Times New Roman" w:eastAsia="方正楷体_GBK" w:cs="Times New Roman"/>
          <w:b w:val="0"/>
          <w:bCs w:val="0"/>
          <w:kern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梳理涉及园区企业的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执法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检查清单，形成针对不同类别企业（食品药品企业、工业企业、物流运输企业）的检查场景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完成时间：2024年4月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2.</w:t>
      </w:r>
      <w:r>
        <w:rPr>
          <w:rFonts w:hint="eastAsia" w:ascii="Times New Roman" w:hAnsi="Times New Roman" w:eastAsia="方正楷体_GBK" w:cs="Times New Roman"/>
          <w:b w:val="0"/>
          <w:bCs w:val="0"/>
          <w:kern w:val="0"/>
          <w:sz w:val="32"/>
          <w:szCs w:val="32"/>
          <w:lang w:val="en-US" w:eastAsia="zh-CN"/>
        </w:rPr>
        <w:t>规范</w:t>
      </w:r>
      <w:r>
        <w:rPr>
          <w:rFonts w:hint="default" w:ascii="Times New Roman" w:hAnsi="Times New Roman" w:eastAsia="方正楷体_GBK" w:cs="Times New Roman"/>
          <w:snapToGrid/>
          <w:color w:val="auto"/>
          <w:kern w:val="0"/>
          <w:sz w:val="32"/>
          <w:szCs w:val="32"/>
          <w:shd w:val="clear" w:fill="FFFFFF"/>
          <w:lang w:val="en-US" w:eastAsia="zh-CN" w:bidi="ar"/>
        </w:rPr>
        <w:t>编制检查计划</w:t>
      </w:r>
      <w:r>
        <w:rPr>
          <w:rFonts w:hint="eastAsia" w:ascii="Times New Roman" w:hAnsi="Times New Roman" w:eastAsia="方正楷体_GBK" w:cs="Times New Roman"/>
          <w:b w:val="0"/>
          <w:bCs w:val="0"/>
          <w:kern w:val="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统筹市场监管、生态环境、应急管理等11个行业部门，结合“双随机、一公开”和其他执法检查任务，制定“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综合查一次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”季度性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执法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计划。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完成时间：每季度首月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3.</w:t>
      </w:r>
      <w:r>
        <w:rPr>
          <w:rFonts w:hint="eastAsia" w:ascii="Times New Roman" w:hAnsi="Times New Roman" w:eastAsia="方正楷体_GBK" w:cs="Times New Roman"/>
          <w:snapToGrid/>
          <w:color w:val="auto"/>
          <w:kern w:val="0"/>
          <w:sz w:val="32"/>
          <w:szCs w:val="32"/>
          <w:shd w:val="clear" w:fill="FFFFFF"/>
          <w:lang w:val="en-US" w:eastAsia="zh-CN" w:bidi="ar"/>
        </w:rPr>
        <w:t>定期开展执法检查。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除专项监督检查、涉及投诉举报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、突发事件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等情况外，每月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在园区开展一次“综合查一次”执法检查。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每个企业同一季度只接受一次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综合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执法检查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完成时间：每季度开展。</w:t>
      </w:r>
    </w:p>
    <w:p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default" w:ascii="方正黑体_GBK" w:hAnsi="Courier New" w:eastAsia="方正仿宋_GBK" w:cs="Times New Roman"/>
          <w:b w:val="0"/>
          <w:bCs w:val="0"/>
          <w:color w:val="auto"/>
          <w:kern w:val="2"/>
          <w:sz w:val="32"/>
          <w:szCs w:val="21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4.</w:t>
      </w:r>
      <w:r>
        <w:rPr>
          <w:rFonts w:hint="eastAsia" w:ascii="Times New Roman" w:hAnsi="Times New Roman" w:eastAsia="方正楷体_GBK" w:cs="Times New Roman"/>
          <w:b w:val="0"/>
          <w:bCs w:val="0"/>
          <w:kern w:val="0"/>
          <w:sz w:val="32"/>
          <w:szCs w:val="32"/>
          <w:lang w:val="en-US" w:eastAsia="zh-CN" w:bidi="ar-SA"/>
        </w:rPr>
        <w:t>强化监督机制。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-SA"/>
        </w:rPr>
        <w:t>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司法局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通过受理投诉举报、开展专项监督等形式，对行政执法机关“综合查一次”情况进行核实，对不按规定擅自检查，增加企业负担的，移交有权部门处理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default" w:ascii="方正黑体_GBK" w:hAnsi="Courier New" w:eastAsia="方正仿宋_GBK" w:cs="Times New Roman"/>
          <w:b w:val="0"/>
          <w:bCs w:val="0"/>
          <w:color w:val="auto"/>
          <w:kern w:val="2"/>
          <w:sz w:val="32"/>
          <w:szCs w:val="21"/>
          <w:highlight w:val="none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u w:val="none"/>
          <w:lang w:val="en-US" w:eastAsia="zh-CN"/>
        </w:rPr>
        <w:t>完成时间：长期坚持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80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right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sectPr>
          <w:headerReference r:id="rId4" w:type="default"/>
          <w:footerReference r:id="rId5" w:type="default"/>
          <w:pgSz w:w="11906" w:h="16838"/>
          <w:pgMar w:top="2098" w:right="1531" w:bottom="2041" w:left="1587" w:header="851" w:footer="992" w:gutter="0"/>
          <w:pgNumType w:fmt="decimal"/>
          <w:cols w:space="720" w:num="1"/>
          <w:rtlGutter w:val="0"/>
          <w:docGrid w:type="lines" w:linePitch="315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南川区水电气领域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一表清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实施方案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6" w:beforeLines="100" w:after="316" w:afterLines="100" w:line="560" w:lineRule="exact"/>
        <w:ind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区经济信息委、区城市管理局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一、实施目标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坚持问题导向，紧贴用户关切，聚焦水电气行业堵点、痛点、难点和焦点，深入开展问题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智治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，全面提升水电气领域服务便利度和群众满意度。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实施步骤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textAlignment w:val="auto"/>
        <w:rPr>
          <w:rFonts w:hint="eastAsia" w:ascii="Times New Roman" w:hAnsi="Times New Roman" w:eastAsia="方正楷体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（一）用能诊断</w:t>
      </w:r>
      <w:r>
        <w:rPr>
          <w:rFonts w:hint="eastAsia" w:ascii="Times New Roman" w:hAnsi="Times New Roman" w:eastAsia="方正楷体_GBK" w:cs="Times New Roman"/>
          <w:color w:val="000000"/>
          <w:sz w:val="32"/>
          <w:szCs w:val="32"/>
          <w:lang w:eastAsia="zh-CN"/>
        </w:rPr>
        <w:t>“</w:t>
      </w:r>
      <w:r>
        <w:rPr>
          <w:rFonts w:hint="eastAsia" w:eastAsia="方正楷体_GBK"/>
          <w:color w:val="000000"/>
          <w:sz w:val="32"/>
          <w:szCs w:val="32"/>
        </w:rPr>
        <w:t>降成本</w:t>
      </w:r>
      <w:r>
        <w:rPr>
          <w:rFonts w:hint="eastAsia" w:ascii="Times New Roman" w:hAnsi="Times New Roman" w:eastAsia="方正楷体_GBK" w:cs="Times New Roman"/>
          <w:color w:val="000000"/>
          <w:sz w:val="32"/>
          <w:szCs w:val="32"/>
          <w:lang w:eastAsia="zh-CN"/>
        </w:rPr>
        <w:t>”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1.适用对象：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存量重点用能企业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2.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val="en-US" w:eastAsia="zh-CN"/>
        </w:rPr>
        <w:t>主要内容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区供电公司、各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管道天然气经营企业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、区自来水公司、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泽禹供水公司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分别对月执行电价超过1元/度、年用气量10万方以上、年用水量1万吨以上的存量重点用能企业开展用能体检，为企业出具一对一用能优化方案，降低企业用能成本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color w:val="000000"/>
          <w:kern w:val="0"/>
          <w:sz w:val="32"/>
          <w:szCs w:val="32"/>
          <w:lang w:val="en-US" w:eastAsia="zh-CN"/>
        </w:rPr>
        <w:t>完成时间</w:t>
      </w:r>
      <w:r>
        <w:rPr>
          <w:rFonts w:hint="eastAsia" w:ascii="方正楷体_GBK" w:hAnsi="方正楷体_GBK" w:eastAsia="方正楷体_GBK" w:cs="方正楷体_GBK"/>
          <w:b w:val="0"/>
          <w:bCs/>
          <w:color w:val="000000"/>
          <w:kern w:val="0"/>
          <w:sz w:val="32"/>
          <w:szCs w:val="32"/>
        </w:rPr>
        <w:t>：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长期坚持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textAlignment w:val="auto"/>
        <w:rPr>
          <w:rFonts w:hint="eastAsia" w:ascii="Times New Roman" w:hAnsi="Times New Roman" w:eastAsia="方正楷体_GBK" w:cs="Times New Roman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（二）电力报装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网上办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1.适用对象：所有电力报装用户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主要内容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（1）提升办电便捷度。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多渠道获取用户用电时序和需求，提前布局电网配套。办电业务依托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渝快办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平台共享证照信息，精简办电材料，提升办电便捷度。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（2）提升办电透明度。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通过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网上国网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电力报装全流程管控和全流程查询等手段，严格执行办电时限服务承诺制，即低压居民3个工作日内接电、无工程的低压非居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个工作日内接电、有工程的低压非居15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天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内接电、高压客户竣工报验后5个工作日内送电，提升办电时效性。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（3）提升办电规范性。用户可通过区经济信息委设立的投诉电话（023-71422916）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或全区企呼我为统一投诉电话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（023-71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992345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）及邮箱（ncjxw71422552@126.com）及时反馈办电问题。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完成时间</w:t>
      </w:r>
      <w:r>
        <w:rPr>
          <w:rFonts w:hint="default" w:ascii="Times New Roman" w:hAnsi="Times New Roman" w:eastAsia="方正楷体_GBK" w:cs="Times New Roman"/>
          <w:b w:val="0"/>
          <w:bCs/>
          <w:color w:val="000000"/>
          <w:kern w:val="0"/>
          <w:sz w:val="32"/>
          <w:szCs w:val="32"/>
        </w:rPr>
        <w:t>：</w:t>
      </w:r>
      <w:r>
        <w:rPr>
          <w:rFonts w:hint="default" w:ascii="Times New Roman" w:hAnsi="Times New Roman" w:eastAsia="方正楷体_GBK" w:cs="Times New Roman"/>
          <w:kern w:val="0"/>
          <w:sz w:val="32"/>
          <w:szCs w:val="32"/>
        </w:rPr>
        <w:t>2024年4月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方正楷体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</w:rPr>
        <w:t xml:space="preserve">（三）燃气报装 </w:t>
      </w:r>
      <w:r>
        <w:rPr>
          <w:rFonts w:hint="eastAsia" w:ascii="Times New Roman" w:hAnsi="Times New Roman" w:eastAsia="方正楷体_GBK" w:cs="Times New Roman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楷体_GBK" w:cs="Times New Roman"/>
          <w:kern w:val="0"/>
          <w:sz w:val="32"/>
          <w:szCs w:val="32"/>
        </w:rPr>
        <w:t>一表清</w:t>
      </w:r>
      <w:r>
        <w:rPr>
          <w:rFonts w:hint="eastAsia" w:ascii="Times New Roman" w:hAnsi="Times New Roman" w:eastAsia="方正楷体_GBK" w:cs="Times New Roman"/>
          <w:kern w:val="0"/>
          <w:sz w:val="32"/>
          <w:szCs w:val="32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1. 适用对象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Times New Roman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在集镇建成区和城市建成区市政燃气管网已覆盖区域，非居用户委托燃气公司实施报装工程。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 xml:space="preserve">2.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主要内容：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firstLine="630"/>
        <w:jc w:val="left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（1）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燃气报装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“一表清”。</w:t>
      </w:r>
      <w:r>
        <w:rPr>
          <w:rFonts w:ascii="Calibri" w:hAnsi="Calibri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 xml:space="preserve"> 各</w:t>
      </w:r>
      <w:r>
        <w:rPr>
          <w:rFonts w:ascii="Calibri" w:hAnsi="Calibri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管道天然气经营企业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出台天然气报装“一表清”物料清单，实现物料价格透明化，用户自主选择材料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类型和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价格。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firstLine="630"/>
        <w:jc w:val="left"/>
        <w:textAlignment w:val="auto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（2）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中小商户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“一口价”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。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 xml:space="preserve"> 针对中小型商业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用户，出台报装价格更优惠的 “一口价”套餐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ascii="Calibri" w:hAnsi="Calibri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各</w:t>
      </w:r>
      <w:r>
        <w:rPr>
          <w:rFonts w:ascii="Calibri" w:hAnsi="Calibri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管道天然气经营企业</w:t>
      </w:r>
      <w:r>
        <w:rPr>
          <w:rFonts w:hint="eastAsia" w:ascii="Calibri" w:hAnsi="Calibri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公布“一口价”套餐所含物料明细供用户选择。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firstLine="640" w:firstLineChars="200"/>
        <w:jc w:val="left"/>
        <w:textAlignment w:val="auto"/>
        <w:rPr>
          <w:rFonts w:ascii="Times New Roman" w:hAnsi="Times New Roman" w:eastAsia="Times New Roman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（3）报装申请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 xml:space="preserve"> “零跑腿”。设立全区统一燃气报装电话</w:t>
      </w:r>
      <w:r>
        <w:rPr>
          <w:rFonts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023-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71420888，用户可通过统一报装电话、渝快办APP等渠道申请燃气报装，报装申请完成后1个工作日内管道天然气经营企业告知用户受理情况并完成现场勘查。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firstLine="630"/>
        <w:jc w:val="left"/>
        <w:textAlignment w:val="auto"/>
        <w:rPr>
          <w:rFonts w:ascii="Times New Roman" w:hAnsi="Times New Roman" w:eastAsia="Times New Roman" w:cs="Times New Roman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4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）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方案费用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“全透明”。管道天然气经营企业根据现场勘查情况，1个工作日内向用户提供接气方案，经双方签字认可后，管道天然气经营企业按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双方签字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确定的方案及用户选择的物料类型，依据“一表清”物料清单向用户提供报装费用明细（包括人工费用、材料、数量、价格等）。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5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 xml:space="preserve">）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监督检查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“全覆盖”。区经济信息委联合区发展改革委、区市场监管局等价格管理部门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定期和不定期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对管道天然气经营企业物料清单公示情况、燃气报装“一表清”执行情况开展抽查检查，确保燃气报装抽查比例不低于50%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完成时间</w:t>
      </w:r>
      <w:r>
        <w:rPr>
          <w:rFonts w:hint="default" w:ascii="Times New Roman" w:hAnsi="Times New Roman" w:eastAsia="方正楷体_GBK" w:cs="Times New Roman"/>
          <w:b w:val="0"/>
          <w:bCs/>
          <w:color w:val="000000"/>
          <w:kern w:val="0"/>
          <w:sz w:val="32"/>
          <w:szCs w:val="32"/>
        </w:rPr>
        <w:t>：</w:t>
      </w:r>
      <w:r>
        <w:rPr>
          <w:rFonts w:hint="default" w:ascii="Times New Roman" w:hAnsi="Times New Roman" w:eastAsia="方正楷体_GBK" w:cs="Times New Roman"/>
          <w:kern w:val="0"/>
          <w:sz w:val="32"/>
          <w:szCs w:val="32"/>
        </w:rPr>
        <w:t>2024年4月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方正楷体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</w:rPr>
        <w:t>（四）城市供水报装</w:t>
      </w:r>
      <w:r>
        <w:rPr>
          <w:rFonts w:hint="eastAsia" w:ascii="Times New Roman" w:hAnsi="Times New Roman" w:eastAsia="方正楷体_GBK" w:cs="Times New Roman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楷体_GBK" w:cs="Times New Roman"/>
          <w:kern w:val="0"/>
          <w:sz w:val="32"/>
          <w:szCs w:val="32"/>
        </w:rPr>
        <w:t>承诺办</w:t>
      </w:r>
      <w:r>
        <w:rPr>
          <w:rFonts w:hint="eastAsia" w:ascii="Times New Roman" w:hAnsi="Times New Roman" w:eastAsia="方正楷体_GBK" w:cs="Times New Roman"/>
          <w:kern w:val="0"/>
          <w:sz w:val="32"/>
          <w:szCs w:val="32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Times New Roman" w:cs="Times New Roman"/>
          <w:kern w:val="0"/>
          <w:sz w:val="32"/>
          <w:szCs w:val="32"/>
        </w:rPr>
      </w:pPr>
      <w:r>
        <w:rPr>
          <w:rFonts w:hint="default" w:ascii="Times New Roman" w:hAnsi="Times New Roman" w:eastAsia="Times New Roman" w:cs="Times New Roman"/>
          <w:kern w:val="0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.适用对象：区自来水公司供区范围内的非居用户供水报装服务。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Times New Roman" w:cs="Times New Roman"/>
          <w:kern w:val="0"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主要内容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Times New Roman" w:cs="Times New Roman"/>
          <w:kern w:val="0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）申请并签</w:t>
      </w:r>
      <w:bookmarkStart w:id="1" w:name="_GoBack"/>
      <w:bookmarkEnd w:id="1"/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承诺书。非居报装用户可通过政务办综合窗口、渝快办、水电气讯一窗联办窗口、区自来水公司微信公众号、营业厅窗口等渠道，向区自来水公司发起费用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最后办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申请，并签署南川区用水报装费用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最后办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（2）直接进场施工。区自来水有限公司在收到承诺书后，应该在2个工作日内完成全部接入通水工作，期间非居报装用户无需提供任何资料、无需缴纳任何费用。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（3）履行承诺付费。区自来水公司在接入通水后，将详细费用清单告知非居报装用户，非居报装用户应在接到费用清单60天内，按承诺书完成承诺事项。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完成时间</w:t>
      </w:r>
      <w:r>
        <w:rPr>
          <w:rFonts w:hint="default" w:ascii="Times New Roman" w:hAnsi="Times New Roman" w:eastAsia="方正楷体_GBK" w:cs="Times New Roman"/>
          <w:b w:val="0"/>
          <w:bCs/>
          <w:color w:val="000000"/>
          <w:kern w:val="0"/>
          <w:sz w:val="32"/>
          <w:szCs w:val="32"/>
        </w:rPr>
        <w:t>：</w:t>
      </w:r>
      <w:r>
        <w:rPr>
          <w:rFonts w:hint="default" w:ascii="Times New Roman" w:hAnsi="Times New Roman" w:eastAsia="方正楷体_GBK" w:cs="Times New Roman"/>
          <w:kern w:val="0"/>
          <w:sz w:val="32"/>
          <w:szCs w:val="32"/>
        </w:rPr>
        <w:t>2024年4月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highlight w:val="none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南川区限下招标“双随机”实施方案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6" w:beforeLines="100" w:after="316" w:afterLines="100" w:line="560" w:lineRule="exact"/>
        <w:ind w:right="0" w:rightChars="0"/>
        <w:jc w:val="center"/>
        <w:textAlignment w:val="auto"/>
        <w:outlineLvl w:val="9"/>
        <w:rPr>
          <w:rFonts w:hint="eastAsia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区发展改革委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一、实施目标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进一步优化招投标领域营商环境，规范限额以下工程发包行为，助力打造公平竞争的市场环境。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二、实施步骤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（一）建立健全限下项目发包管理体系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出台《南川区限额以下工程建设项目发包管理办法（试行）》，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明确将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辖区内使用各类公共资金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包括财政预算资金、国有资金、集体所有资金、村社自有资金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5万以上400万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以下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的工程项目纳入集中监管，发包方式为随机抽选、公开比价、竞争性比选、直接确定、自主发包等。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完成时间：2024年4月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（二）全面推行限下项目电子化交易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完善限下项目电子化交易制度规则，搭建限额以下工程项目电子交易系统，推动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5万以上400万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以下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的工程项目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全部通过电子交易系统进行招标投标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完成时间：2024年4月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（三）健全限下项目信用监管体系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建立健全限下项目参与主体信用监管体系，明确不良行为记分情形，确保限下项目诚信履约。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完成时间：</w:t>
      </w:r>
      <w:r>
        <w:rPr>
          <w:rFonts w:hint="eastAsia" w:ascii="方正楷体_GBK" w:hAnsi="方正楷体_GBK" w:eastAsia="方正楷体_GBK" w:cs="方正楷体_GBK"/>
          <w:b w:val="0"/>
          <w:kern w:val="2"/>
          <w:sz w:val="32"/>
          <w:szCs w:val="32"/>
          <w:lang w:val="en-US" w:eastAsia="zh-CN" w:bidi="ar-SA"/>
        </w:rPr>
        <w:t>长期坚持。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（四）强化合同履约监管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行业主管部门对所属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限下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开展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“双随机、一公开”监管，随机抽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检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比例不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低于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10%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充分发挥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社会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监督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设立全区限下项目招投标监管热线</w:t>
      </w: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023-71423026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完成时间：</w:t>
      </w:r>
      <w:r>
        <w:rPr>
          <w:rFonts w:hint="eastAsia" w:ascii="方正楷体_GBK" w:hAnsi="方正楷体_GBK" w:eastAsia="方正楷体_GBK" w:cs="方正楷体_GBK"/>
          <w:b w:val="0"/>
          <w:kern w:val="2"/>
          <w:sz w:val="32"/>
          <w:szCs w:val="32"/>
          <w:lang w:val="en-US" w:eastAsia="zh-CN" w:bidi="ar-SA"/>
        </w:rPr>
        <w:t>长期坚持。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方正仿宋_GBK"/>
          <w:kern w:val="0"/>
          <w:sz w:val="32"/>
          <w:szCs w:val="32"/>
          <w:highlight w:val="none"/>
        </w:rPr>
      </w:pPr>
    </w:p>
    <w:p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方正仿宋_GBK"/>
          <w:kern w:val="0"/>
          <w:sz w:val="32"/>
          <w:szCs w:val="32"/>
          <w:highlight w:val="none"/>
        </w:rPr>
      </w:pPr>
    </w:p>
    <w:p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方正仿宋_GBK"/>
          <w:kern w:val="0"/>
          <w:sz w:val="32"/>
          <w:szCs w:val="32"/>
          <w:highlight w:val="none"/>
        </w:rPr>
      </w:pPr>
    </w:p>
    <w:p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方正仿宋_GBK"/>
          <w:kern w:val="0"/>
          <w:sz w:val="32"/>
          <w:szCs w:val="32"/>
          <w:highlight w:val="none"/>
        </w:rPr>
      </w:pPr>
    </w:p>
    <w:p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方正仿宋_GBK"/>
          <w:kern w:val="0"/>
          <w:sz w:val="32"/>
          <w:szCs w:val="32"/>
          <w:highlight w:val="none"/>
        </w:rPr>
      </w:pPr>
    </w:p>
    <w:p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方正仿宋_GBK"/>
          <w:kern w:val="0"/>
          <w:sz w:val="32"/>
          <w:szCs w:val="32"/>
          <w:highlight w:val="none"/>
        </w:rPr>
      </w:pPr>
    </w:p>
    <w:p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both"/>
        <w:textAlignment w:val="auto"/>
        <w:rPr>
          <w:rFonts w:hint="eastAsia" w:ascii="Times New Roman" w:hAnsi="Times New Roman" w:eastAsia="方正仿宋_GBK"/>
          <w:kern w:val="0"/>
          <w:sz w:val="32"/>
          <w:szCs w:val="32"/>
          <w:highlight w:val="none"/>
        </w:rPr>
      </w:pPr>
    </w:p>
    <w:p>
      <w:pPr>
        <w:rPr>
          <w:rFonts w:hint="eastAsia" w:ascii="Times New Roman" w:hAnsi="Times New Roman" w:eastAsia="方正仿宋_GBK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highlight w:val="none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南川区企呼我为“闭环办”实施方案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5" w:beforeLines="100" w:after="315" w:afterLines="100" w:line="594" w:lineRule="exact"/>
        <w:ind w:right="0" w:rightChars="0"/>
        <w:jc w:val="center"/>
        <w:textAlignment w:val="auto"/>
        <w:outlineLvl w:val="9"/>
        <w:rPr>
          <w:rFonts w:hint="eastAsia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highlight w:val="none"/>
          <w:lang w:val="en-US" w:eastAsia="zh-CN"/>
        </w:rPr>
        <w:t>区发展改革委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一、实施目标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搭建南川区企业诉求平台，建立诉求闭环办理机制，确保企业诉求“件件有落实、事事有回音”，提升企业获得感、幸福感、认同感。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二、实施步骤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（一）搭建多维度诉求收集渠道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.平台反馈。在区政府门户网站（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http://www.cqnc.gov.cn/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）、“南川发布”公众号（微信搜索公众号“南川发布”）等媒介，设立“企呼我为”诉求办理专区。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完成时间：门户网站2024年5月上旬、公众号5月中旬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.电话反馈。设立全区企业诉求反馈热线电话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023-71992345，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投诉时间为上午8:30-下午6:00，节假日不休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完成时间：2024年4月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.线下反馈。在区政府大楼、工业园区、政务大厅设立“营商环境意见反馈箱”，每日收集清空。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完成时间：2024年4月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（二）建立“企呼我为”企业诉求闭环办理机制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针对企业通过平台、电话、线下等渠道反馈的诉求，建立“收集</w:t>
      </w:r>
      <w:r>
        <w:rPr>
          <w:rFonts w:hint="eastAsia" w:ascii="方正仿宋_GBK" w:hAnsi="方正仿宋_GBK" w:cs="方正仿宋_GBK"/>
          <w:sz w:val="32"/>
          <w:szCs w:val="32"/>
          <w:highlight w:val="none"/>
          <w:lang w:val="en-US" w:eastAsia="zh-CN"/>
        </w:rPr>
        <w:t>—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交办</w:t>
      </w:r>
      <w:r>
        <w:rPr>
          <w:rFonts w:hint="eastAsia" w:ascii="方正仿宋_GBK" w:hAnsi="方正仿宋_GBK" w:cs="方正仿宋_GBK"/>
          <w:sz w:val="32"/>
          <w:szCs w:val="32"/>
          <w:highlight w:val="none"/>
          <w:lang w:val="en-US" w:eastAsia="zh-CN"/>
        </w:rPr>
        <w:t>—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办理</w:t>
      </w:r>
      <w:r>
        <w:rPr>
          <w:rFonts w:hint="eastAsia" w:ascii="方正仿宋_GBK" w:hAnsi="方正仿宋_GBK" w:cs="方正仿宋_GBK"/>
          <w:sz w:val="32"/>
          <w:szCs w:val="32"/>
          <w:highlight w:val="none"/>
          <w:lang w:val="en-US" w:eastAsia="zh-CN"/>
        </w:rPr>
        <w:t>—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反馈</w:t>
      </w:r>
      <w:r>
        <w:rPr>
          <w:rFonts w:hint="eastAsia" w:ascii="方正仿宋_GBK" w:hAnsi="方正仿宋_GBK" w:cs="方正仿宋_GBK"/>
          <w:sz w:val="32"/>
          <w:szCs w:val="32"/>
          <w:highlight w:val="none"/>
          <w:lang w:val="en-US" w:eastAsia="zh-CN"/>
        </w:rPr>
        <w:t>—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评价</w:t>
      </w:r>
      <w:r>
        <w:rPr>
          <w:rFonts w:hint="eastAsia" w:ascii="方正仿宋_GBK" w:hAnsi="方正仿宋_GBK" w:cs="方正仿宋_GBK"/>
          <w:sz w:val="32"/>
          <w:szCs w:val="32"/>
          <w:highlight w:val="none"/>
          <w:lang w:val="en-US" w:eastAsia="zh-CN"/>
        </w:rPr>
        <w:t>—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销号</w:t>
      </w:r>
      <w:r>
        <w:rPr>
          <w:rFonts w:hint="eastAsia" w:ascii="方正仿宋_GBK" w:hAnsi="方正仿宋_GBK" w:cs="方正仿宋_GBK"/>
          <w:sz w:val="32"/>
          <w:szCs w:val="32"/>
          <w:highlight w:val="none"/>
          <w:lang w:val="en-US" w:eastAsia="zh-CN"/>
        </w:rPr>
        <w:t>—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回访”闭环管理机制，由区营商办每天汇总</w:t>
      </w: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收集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企业诉求，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个工作日送达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“</w:t>
      </w: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u w:val="none"/>
          <w:lang w:val="en-US" w:eastAsia="zh-CN"/>
        </w:rPr>
        <w:t>交办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单”（详见附件），相关单位接到交办后主动联系市场主体，精准摸清诉求内容，积极开展问题</w:t>
      </w: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u w:val="none"/>
          <w:lang w:val="en-US" w:eastAsia="zh-CN"/>
        </w:rPr>
        <w:t>办理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，原则上简单问题2个工作日办结，复杂问题不超过10个工作日，并将办理情况</w:t>
      </w: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u w:val="none"/>
          <w:lang w:val="en-US" w:eastAsia="zh-CN"/>
        </w:rPr>
        <w:t>反馈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至区营商办，由区营商办回访企业进行满意度</w:t>
      </w: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u w:val="none"/>
          <w:lang w:val="en-US" w:eastAsia="zh-CN"/>
        </w:rPr>
        <w:t>评价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，对不满意的再次交办，直至企业满意才可</w:t>
      </w: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u w:val="none"/>
          <w:lang w:val="en-US" w:eastAsia="zh-CN"/>
        </w:rPr>
        <w:t>销号，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涉及向企业承诺办结时限的，由区营商办按时</w:t>
      </w: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u w:val="none"/>
          <w:lang w:val="en-US" w:eastAsia="zh-CN"/>
        </w:rPr>
        <w:t>回访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承诺办理情况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u w:val="none"/>
          <w:lang w:val="en-US" w:eastAsia="zh-CN"/>
        </w:rPr>
        <w:t>完成时间：已完成，能够正常办理企业诉求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附件：南川区“企呼我为闭环办”企业诉求交办单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南川区“企呼我为闭环办”</w:t>
      </w: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企业诉求交办单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编号：ncqhww2024-01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交办单位：区营商办（区发展改革委代章）      交办时间：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2024年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日</w:t>
      </w:r>
    </w:p>
    <w:tbl>
      <w:tblPr>
        <w:tblStyle w:val="18"/>
        <w:tblpPr w:leftFromText="180" w:rightFromText="180" w:vertAnchor="text" w:horzAnchor="page" w:tblpX="1811" w:tblpY="1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505"/>
        <w:gridCol w:w="1262"/>
        <w:gridCol w:w="544"/>
        <w:gridCol w:w="1172"/>
        <w:gridCol w:w="472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3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both"/>
              <w:textAlignment w:val="auto"/>
              <w:rPr>
                <w:rFonts w:hint="default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诉求内容</w:t>
            </w:r>
          </w:p>
        </w:tc>
        <w:tc>
          <w:tcPr>
            <w:tcW w:w="708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 w:firstLineChars="200"/>
              <w:jc w:val="left"/>
              <w:textAlignment w:val="auto"/>
              <w:rPr>
                <w:rFonts w:hint="default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问题类型</w:t>
            </w:r>
          </w:p>
        </w:tc>
        <w:tc>
          <w:tcPr>
            <w:tcW w:w="27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□简单问题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□一般问题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□复杂问题</w:t>
            </w:r>
          </w:p>
        </w:tc>
        <w:tc>
          <w:tcPr>
            <w:tcW w:w="21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办结时限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□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个工作日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□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个工作日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承办单位</w:t>
            </w:r>
          </w:p>
        </w:tc>
        <w:tc>
          <w:tcPr>
            <w:tcW w:w="708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办理情况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（承办单位填写）</w:t>
            </w:r>
          </w:p>
        </w:tc>
        <w:tc>
          <w:tcPr>
            <w:tcW w:w="708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部门办理联系人及电话：         办理单位签章：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4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销号管理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（区营商办填写）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default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企业意见</w:t>
            </w:r>
          </w:p>
        </w:tc>
        <w:tc>
          <w:tcPr>
            <w:tcW w:w="558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1120" w:firstLineChars="400"/>
              <w:jc w:val="both"/>
              <w:textAlignment w:val="auto"/>
              <w:rPr>
                <w:rFonts w:hint="default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□满意        □不满意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08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□同意销号        □持续跟踪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                       区营商办签章：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920" w:firstLineChars="140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Calibri" w:hAnsi="Calibri" w:eastAsia="宋体" w:cs="Times New Roman"/>
          <w:lang w:val="en-US" w:eastAsia="zh-CN"/>
        </w:rPr>
      </w:pPr>
      <w:r>
        <w:rPr>
          <w:rFonts w:hint="eastAsia" w:ascii="Calibri" w:hAnsi="Calibri" w:eastAsia="宋体" w:cs="Times New Roman"/>
          <w:lang w:val="en-US" w:eastAsia="zh-CN"/>
        </w:rPr>
        <w:t>备注：1.请各承办单位主动联系企业，摸清详细诉求，限时办结，及时反馈。办理情况内容要实，应明确与企业联系情况、办理情况、具体事项办结时限等。</w:t>
      </w:r>
    </w:p>
    <w:p>
      <w:pPr>
        <w:numPr>
          <w:ilvl w:val="0"/>
          <w:numId w:val="0"/>
        </w:numPr>
        <w:ind w:firstLine="1050" w:firstLineChars="500"/>
        <w:rPr>
          <w:rFonts w:hint="eastAsia" w:ascii="Calibri" w:hAnsi="Calibri" w:eastAsia="宋体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2.</w:t>
      </w:r>
      <w:r>
        <w:rPr>
          <w:rFonts w:hint="eastAsia" w:ascii="Calibri" w:hAnsi="Calibri" w:eastAsia="宋体" w:cs="Times New Roman"/>
          <w:lang w:val="en-US" w:eastAsia="zh-CN"/>
        </w:rPr>
        <w:t>区营商办将对交办单的承办量、办结率、及时率、满意率等进行月度通报。</w:t>
      </w:r>
    </w:p>
    <w:p>
      <w:pPr>
        <w:numPr>
          <w:ilvl w:val="0"/>
          <w:numId w:val="0"/>
        </w:numPr>
        <w:ind w:firstLine="1050" w:firstLineChars="500"/>
        <w:rPr>
          <w:rFonts w:hint="default" w:ascii="Calibri" w:hAnsi="Calibri" w:eastAsia="宋体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3.</w:t>
      </w:r>
      <w:r>
        <w:rPr>
          <w:rFonts w:hint="eastAsia" w:ascii="Calibri" w:hAnsi="Calibri" w:eastAsia="宋体" w:cs="Times New Roman"/>
          <w:lang w:val="en-US" w:eastAsia="zh-CN"/>
        </w:rPr>
        <w:t>区营商办联系电话：71992345</w:t>
      </w:r>
      <w:r>
        <w:rPr>
          <w:rFonts w:hint="eastAsia" w:cs="Times New Roman"/>
          <w:lang w:val="en-US" w:eastAsia="zh-CN"/>
        </w:rPr>
        <w:t>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="0" w:afterAutospacing="0" w:line="560" w:lineRule="exact"/>
        <w:ind w:firstLine="620" w:firstLineChars="200"/>
        <w:textAlignment w:val="auto"/>
        <w:rPr>
          <w:rFonts w:hint="eastAsia" w:ascii="Times New Roman" w:hAnsi="Times New Roman" w:eastAsia="方正仿宋_GBK" w:cs="Times New Roman"/>
          <w:spacing w:val="-5"/>
          <w:kern w:val="0"/>
          <w:sz w:val="32"/>
          <w:szCs w:val="32"/>
          <w:highlight w:val="none"/>
          <w:lang w:val="en-US" w:eastAsia="zh-CN" w:bidi="ar-SA"/>
        </w:rPr>
      </w:pPr>
    </w:p>
    <w:p>
      <w:pPr>
        <w:rPr>
          <w:rFonts w:hint="eastAsia" w:ascii="Times New Roman" w:hAnsi="Times New Roman" w:eastAsia="方正仿宋_GBK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highlight w:val="none"/>
        </w:rPr>
        <w:br w:type="page"/>
      </w:r>
    </w:p>
    <w:p>
      <w:pPr>
        <w:widowControl/>
        <w:shd w:val="clear" w:color="auto" w:fill="FFFFFF"/>
        <w:snapToGrid w:val="0"/>
        <w:spacing w:line="560" w:lineRule="exact"/>
        <w:jc w:val="both"/>
        <w:rPr>
          <w:rFonts w:ascii="Times New Roman" w:hAnsi="Times New Roman" w:eastAsia="方正小标宋_GBK"/>
          <w:color w:val="000000"/>
          <w:kern w:val="0"/>
          <w:sz w:val="44"/>
          <w:szCs w:val="44"/>
          <w:highlight w:val="none"/>
          <w:shd w:val="clear" w:color="auto" w:fill="FFFFFF"/>
          <w:lang w:bidi="ar"/>
        </w:rPr>
      </w:pPr>
    </w:p>
    <w:p>
      <w:pPr>
        <w:widowControl/>
        <w:shd w:val="clear" w:color="auto" w:fill="FFFFFF"/>
        <w:snapToGrid w:val="0"/>
        <w:spacing w:line="560" w:lineRule="exact"/>
        <w:jc w:val="center"/>
        <w:rPr>
          <w:rFonts w:ascii="Times New Roman" w:hAnsi="Times New Roman" w:eastAsia="方正小标宋_GBK"/>
          <w:color w:val="000000"/>
          <w:kern w:val="0"/>
          <w:sz w:val="44"/>
          <w:szCs w:val="44"/>
          <w:highlight w:val="none"/>
          <w:shd w:val="clear" w:color="auto" w:fill="FFFFFF"/>
          <w:lang w:bidi="ar"/>
        </w:rPr>
      </w:pP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南川区政府企业</w:t>
      </w: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  <w:highlight w:val="none"/>
          <w:shd w:val="clear" w:color="auto" w:fill="FFFFFF"/>
          <w:lang w:eastAsia="zh-CN" w:bidi="ar"/>
        </w:rPr>
        <w:t>“</w:t>
      </w:r>
      <w:r>
        <w:rPr>
          <w:rFonts w:ascii="Times New Roman" w:hAnsi="Times New Roman" w:eastAsia="方正小标宋_GBK"/>
          <w:color w:val="000000"/>
          <w:kern w:val="0"/>
          <w:sz w:val="44"/>
          <w:szCs w:val="44"/>
          <w:highlight w:val="none"/>
          <w:shd w:val="clear" w:color="auto" w:fill="FFFFFF"/>
          <w:lang w:bidi="ar"/>
        </w:rPr>
        <w:t>双兑现</w:t>
      </w: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  <w:highlight w:val="none"/>
          <w:shd w:val="clear" w:color="auto" w:fill="FFFFFF"/>
          <w:lang w:eastAsia="zh-CN" w:bidi="ar"/>
        </w:rPr>
        <w:t>”</w:t>
      </w: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实施</w:t>
      </w:r>
      <w:r>
        <w:rPr>
          <w:rFonts w:ascii="Times New Roman" w:hAnsi="Times New Roman" w:eastAsia="方正小标宋_GBK"/>
          <w:color w:val="000000"/>
          <w:kern w:val="0"/>
          <w:sz w:val="44"/>
          <w:szCs w:val="44"/>
          <w:highlight w:val="none"/>
          <w:shd w:val="clear" w:color="auto" w:fill="FFFFFF"/>
          <w:lang w:bidi="ar"/>
        </w:rPr>
        <w:t>方案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6" w:beforeLines="100" w:after="316" w:afterLines="100" w:line="560" w:lineRule="exact"/>
        <w:ind w:firstLine="640" w:firstLineChars="200"/>
        <w:jc w:val="center"/>
        <w:textAlignment w:val="auto"/>
        <w:rPr>
          <w:rFonts w:ascii="Times New Roman" w:hAnsi="Times New Roman" w:eastAsia="方正仿宋_GBK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工业园区管委会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一、实施目标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加强诚信政府建设，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提升企业在南投资兴业信心，促进企业诚信践诺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，以“双兑现”激发生产力。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二、实施步骤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（一）形成兑现清单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以招商签约协议为依据，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全面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梳理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企业履约情况和政府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“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应兑未兑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”情况，分类建立“企业履约台账”和“政府兑现台账”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完成时限：2024年4月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（二）审核认定兑现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对已履约未兑现企业，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开展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部门联合审查，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审查结果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提请“双兑现”工作领导小组审定，统筹调度资金及时兑付。涉及其他政策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未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兑现的，由工业园区管委会会同有关部门组织实施。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完成时限：长期坚持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（三）企业履约跟踪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对未履约和新签约企业，由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工业园区管委会“一对一”全程跟踪服务，指导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提醒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企业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及时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履约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，履约后按程序及时兑付政府相关支持政策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完成时限：长期坚持</w:t>
      </w:r>
    </w:p>
    <w:p>
      <w:pPr>
        <w:spacing w:line="594" w:lineRule="exact"/>
        <w:rPr>
          <w:rFonts w:hint="eastAsia" w:eastAsia="方正仿宋_GBK" w:cs="方正仿宋_GBK"/>
          <w:sz w:val="32"/>
          <w:szCs w:val="32"/>
          <w:highlight w:val="none"/>
        </w:rPr>
        <w:sectPr>
          <w:headerReference r:id="rId6" w:type="default"/>
          <w:footerReference r:id="rId7" w:type="default"/>
          <w:pgSz w:w="11906" w:h="16838"/>
          <w:pgMar w:top="1984" w:right="1446" w:bottom="1644" w:left="1446" w:header="851" w:footer="1474" w:gutter="0"/>
          <w:cols w:space="720" w:num="1"/>
          <w:docGrid w:type="lines" w:linePitch="314" w:charSpace="0"/>
        </w:sectPr>
      </w:pPr>
    </w:p>
    <w:p>
      <w:pPr>
        <w:pStyle w:val="3"/>
        <w:rPr>
          <w:rFonts w:hint="eastAsia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/>
          <w:sz w:val="44"/>
          <w:szCs w:val="44"/>
          <w:highlight w:val="none"/>
          <w:lang w:val="en-US" w:eastAsia="zh-CN"/>
        </w:rPr>
        <w:t>南川</w:t>
      </w:r>
      <w:r>
        <w:rPr>
          <w:rFonts w:ascii="Times New Roman" w:hAnsi="Times New Roman" w:eastAsia="方正小标宋_GBK"/>
          <w:sz w:val="44"/>
          <w:szCs w:val="44"/>
          <w:highlight w:val="none"/>
        </w:rPr>
        <w:t>区</w:t>
      </w:r>
      <w:r>
        <w:rPr>
          <w:rFonts w:hint="eastAsia" w:ascii="Times New Roman" w:hAnsi="Times New Roman" w:eastAsia="方正小标宋_GBK"/>
          <w:sz w:val="44"/>
          <w:szCs w:val="44"/>
          <w:highlight w:val="none"/>
          <w:lang w:val="en-US" w:eastAsia="zh-CN"/>
        </w:rPr>
        <w:t>涉诉企业</w:t>
      </w:r>
      <w:r>
        <w:rPr>
          <w:rFonts w:hint="eastAsia" w:ascii="Times New Roman" w:hAnsi="Times New Roman" w:eastAsia="方正小标宋_GBK"/>
          <w:sz w:val="44"/>
          <w:szCs w:val="44"/>
          <w:highlight w:val="none"/>
        </w:rPr>
        <w:t>调解</w:t>
      </w:r>
      <w:r>
        <w:rPr>
          <w:rFonts w:hint="eastAsia" w:ascii="Times New Roman" w:hAnsi="Times New Roman" w:eastAsia="方正小标宋_GBK"/>
          <w:sz w:val="44"/>
          <w:szCs w:val="44"/>
          <w:highlight w:val="none"/>
          <w:lang w:eastAsia="zh-CN"/>
        </w:rPr>
        <w:t>“靠前办”实施</w:t>
      </w:r>
      <w:r>
        <w:rPr>
          <w:rFonts w:hint="eastAsia" w:ascii="Times New Roman" w:hAnsi="Times New Roman" w:eastAsia="方正小标宋_GBK"/>
          <w:sz w:val="44"/>
          <w:szCs w:val="44"/>
          <w:highlight w:val="none"/>
        </w:rPr>
        <w:t>方案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6" w:beforeLines="100" w:after="316" w:afterLines="100" w:line="580" w:lineRule="exact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highlight w:val="none"/>
          <w:lang w:val="en-US" w:eastAsia="zh-CN"/>
        </w:rPr>
        <w:t>区法院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一、实施目标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完善诉源治理机制，畅通诉前调解“绿色通道”，丰富涉企纠纷化解方式，降低市场主体诉讼成本。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1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实施步骤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hint="eastAsia" w:ascii="方正仿宋_GBK" w:eastAsia="方正仿宋_GBK" w:cs="黑体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1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.</w:t>
      </w:r>
      <w:r>
        <w:rPr>
          <w:rFonts w:hint="eastAsia" w:ascii="方正仿宋_GBK" w:eastAsia="方正仿宋_GBK" w:cs="黑体"/>
          <w:sz w:val="32"/>
          <w:szCs w:val="32"/>
        </w:rPr>
        <w:t>完善“最多跑一次”司法服务</w:t>
      </w:r>
      <w:r>
        <w:rPr>
          <w:rFonts w:hint="eastAsia" w:ascii="方正仿宋_GBK" w:eastAsia="方正仿宋_GBK" w:cs="黑体"/>
          <w:sz w:val="32"/>
          <w:szCs w:val="32"/>
          <w:lang w:eastAsia="zh-CN"/>
        </w:rPr>
        <w:t>机制。</w:t>
      </w:r>
      <w:r>
        <w:rPr>
          <w:rFonts w:hint="eastAsia" w:ascii="方正仿宋_GBK" w:eastAsia="方正仿宋_GBK" w:cs="黑体"/>
          <w:sz w:val="32"/>
          <w:szCs w:val="32"/>
        </w:rPr>
        <w:t>在手续材料提交等方面给予企业更多便利，确保立案环节实现涉企纠纷案件当事人“最多跑一次”。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hint="eastAsia" w:ascii="方正仿宋_GBK" w:eastAsia="方正仿宋_GBK" w:cs="黑体"/>
          <w:sz w:val="32"/>
          <w:szCs w:val="32"/>
          <w:lang w:eastAsia="zh-CN"/>
        </w:rPr>
      </w:pPr>
      <w:r>
        <w:rPr>
          <w:rFonts w:hint="eastAsia" w:ascii="方正仿宋_GBK" w:eastAsia="方正仿宋_GBK" w:cs="黑体"/>
          <w:sz w:val="32"/>
          <w:szCs w:val="32"/>
          <w:lang w:eastAsia="zh-CN"/>
        </w:rPr>
        <w:t>完成时间：已完成，持续推进。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2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方正仿宋_GBK" w:hAnsi="Times New Roman" w:eastAsia="方正仿宋_GBK" w:cs="宋体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开展涉诉企业“法治体检”。针对涉诉企业当事人，主动联合相关职能部门共同联席会商，一事一议研讨调解方案，助力企业防范化解风险。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hint="eastAsia" w:ascii="方正仿宋_GBK" w:eastAsia="方正仿宋_GBK" w:cs="黑体"/>
          <w:sz w:val="32"/>
          <w:szCs w:val="32"/>
          <w:lang w:eastAsia="zh-CN"/>
        </w:rPr>
      </w:pPr>
      <w:r>
        <w:rPr>
          <w:rFonts w:hint="eastAsia" w:ascii="方正仿宋_GBK" w:eastAsia="方正仿宋_GBK" w:cs="黑体"/>
          <w:sz w:val="32"/>
          <w:szCs w:val="32"/>
          <w:lang w:eastAsia="zh-CN"/>
        </w:rPr>
        <w:t>完成时间：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2024年4</w:t>
      </w:r>
      <w:r>
        <w:rPr>
          <w:rFonts w:hint="eastAsia" w:ascii="方正仿宋_GBK" w:eastAsia="方正仿宋_GBK" w:cs="黑体"/>
          <w:sz w:val="32"/>
          <w:szCs w:val="32"/>
          <w:lang w:val="en-US" w:eastAsia="zh-CN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20" w:firstLine="640"/>
        <w:jc w:val="both"/>
        <w:textAlignment w:val="auto"/>
        <w:rPr>
          <w:rFonts w:hint="eastAsia" w:ascii="方正仿宋_GBK" w:hAnsi="Times New Roman" w:eastAsia="方正仿宋_GBK" w:cs="宋体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方正仿宋_GBK" w:hAnsi="Times New Roman" w:eastAsia="方正仿宋_GBK" w:cs="宋体"/>
          <w:kern w:val="2"/>
          <w:sz w:val="32"/>
          <w:szCs w:val="32"/>
          <w:lang w:val="en-US" w:eastAsia="zh-CN" w:bidi="ar-SA"/>
        </w:rPr>
        <w:t>优化保全措施。全面引导涉诉企业申请诉讼保全，以保全促调解、促执行。坚持推行“保全+保险”工作机制，减轻企业申请保全负担。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hint="eastAsia" w:ascii="方正仿宋_GBK" w:eastAsia="方正仿宋_GBK" w:cs="黑体"/>
          <w:sz w:val="32"/>
          <w:szCs w:val="32"/>
          <w:lang w:eastAsia="zh-CN"/>
        </w:rPr>
      </w:pPr>
      <w:r>
        <w:rPr>
          <w:rFonts w:hint="eastAsia" w:ascii="方正仿宋_GBK" w:eastAsia="方正仿宋_GBK" w:cs="黑体"/>
          <w:sz w:val="32"/>
          <w:szCs w:val="32"/>
          <w:lang w:eastAsia="zh-CN"/>
        </w:rPr>
        <w:t>完成时间：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2024年4</w:t>
      </w:r>
      <w:r>
        <w:rPr>
          <w:rFonts w:hint="eastAsia" w:ascii="方正仿宋_GBK" w:eastAsia="方正仿宋_GBK" w:cs="黑体"/>
          <w:sz w:val="32"/>
          <w:szCs w:val="32"/>
          <w:lang w:val="en-US" w:eastAsia="zh-CN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20"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.建立综合调处机制。推动将涉企案件化解作为区平安建设考核重点内容，对进入诉讼的涉企案件，推动建立“区法院清理移交-区矛调中心统一交办-各责任单位限时调处”机制。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hint="eastAsia" w:ascii="方正仿宋_GBK" w:eastAsia="方正仿宋_GBK" w:cs="黑体"/>
          <w:sz w:val="32"/>
          <w:szCs w:val="32"/>
          <w:lang w:eastAsia="zh-CN"/>
        </w:rPr>
      </w:pPr>
      <w:r>
        <w:rPr>
          <w:rFonts w:hint="eastAsia" w:ascii="方正仿宋_GBK" w:eastAsia="方正仿宋_GBK" w:cs="黑体"/>
          <w:sz w:val="32"/>
          <w:szCs w:val="32"/>
          <w:lang w:eastAsia="zh-CN"/>
        </w:rPr>
        <w:t>完成时间：已完成，持续推进。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20" w:firstLine="64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方正仿宋_GBK" w:hAnsi="Times New Roman" w:eastAsia="方正仿宋_GBK" w:cs="宋体"/>
          <w:kern w:val="2"/>
          <w:sz w:val="32"/>
          <w:szCs w:val="32"/>
          <w:lang w:val="en-US" w:eastAsia="zh-CN" w:bidi="ar-SA"/>
        </w:rPr>
        <w:t>优化涉企业执行工作。探索建立执行前调解机制，推行涉诉企业执行和解，在调解、和解期内在财产处置、信用惩戒方面给予企业一定缓冲期，助力企业继续生产经营。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1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完成时间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：2024年4</w:t>
      </w:r>
      <w:r>
        <w:rPr>
          <w:rFonts w:hint="eastAsia" w:ascii="方正仿宋_GBK" w:hAnsi="Times New Roman" w:eastAsia="方正仿宋_GBK" w:cs="宋体"/>
          <w:kern w:val="2"/>
          <w:sz w:val="32"/>
          <w:szCs w:val="32"/>
          <w:lang w:val="en-US" w:eastAsia="zh-CN" w:bidi="ar-SA"/>
        </w:rPr>
        <w:t>月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/>
          <w:kern w:val="0"/>
          <w:sz w:val="32"/>
          <w:szCs w:val="32"/>
          <w:highlight w:val="none"/>
          <w:lang w:val="en-US" w:eastAsia="zh-CN"/>
        </w:rPr>
      </w:pPr>
    </w:p>
    <w:p>
      <w:pP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仿宋_GBK"/>
          <w:kern w:val="0"/>
          <w:sz w:val="32"/>
          <w:szCs w:val="32"/>
          <w:highlight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8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8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南川区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“最佳案例大家评”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实施方案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6" w:beforeLines="100" w:beforeAutospacing="0" w:after="316" w:afterLines="100" w:afterAutospacing="0" w:line="580" w:lineRule="exact"/>
        <w:ind w:left="0" w:leftChars="0"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区发展改革委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实施目标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通过正向激励，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每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年开展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“南川区优化营商环境最佳示范案例”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大家评活动，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催生一批服企助企惠企过程中的标杆和榜样，营造服务企业光荣的鲜明导向，引导全区上下更加主动、更加精准、</w:t>
      </w:r>
      <w:r>
        <w:rPr>
          <w:rFonts w:hint="eastAsia" w:ascii="Times New Roman" w:hAnsi="Times New Roman" w:eastAsia="方正仿宋_GBK" w:cs="Times New Roman"/>
          <w:spacing w:val="-11"/>
          <w:sz w:val="32"/>
          <w:szCs w:val="32"/>
          <w:highlight w:val="none"/>
          <w:lang w:val="en-US" w:eastAsia="zh-CN"/>
        </w:rPr>
        <w:t>更加倾心倾情服务企业，切实</w:t>
      </w:r>
      <w:r>
        <w:rPr>
          <w:rFonts w:hint="default" w:ascii="Times New Roman" w:hAnsi="Times New Roman" w:eastAsia="方正仿宋_GBK" w:cs="Times New Roman"/>
          <w:spacing w:val="-11"/>
          <w:sz w:val="32"/>
          <w:szCs w:val="32"/>
          <w:highlight w:val="none"/>
          <w:lang w:val="en-US" w:eastAsia="zh-CN"/>
        </w:rPr>
        <w:t>提升企业获得感、幸福感、认同感。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实施步骤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bookmarkStart w:id="0" w:name="_Toc1943"/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（一）参评对象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各乡镇党委、人民政府，各街道党工委、办事处，区委各部委，区级国家机关各部门，各人民团体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及其他涉企服务单位或个人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区内各市场主体。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（二）评选步骤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1.申报阶段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参赛单位将案例申报材料报区营商办汇总，鼓励附件提供照片或视频资料。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完成时间：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2024年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月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初选阶段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由区营商办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统筹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，对征集案例进行初步审核，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选出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20个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符合评比标准的案例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完成时间：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2024年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3.网络票选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。对初选案例进行网络票选，综合评选15个案例进入决赛。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完成时间：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2024年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4.决赛阶段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线下开展南川区“最佳案例大家评”决赛评比活动，入围决赛单位现场讲解案例内容，由营商环境观察员代表、企业代表、人大代表、政协委员等组成评委组现场打分，形成10个案例名单。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完成时间：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2024年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5.确定入选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：区营商办将决赛获胜名单提请区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政府常务会和区委常委会审议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，确定本年度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南川区优化营商环境最佳示范案例名单。</w:t>
      </w:r>
    </w:p>
    <w:bookmarkEnd w:id="0"/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完成时间：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2024年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月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6.表彰奖励：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入选案例在下一年度全区优化营商环境大会上予以表彰奖励。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完成时间：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2025年一季度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sectPr>
      <w:pgSz w:w="11906" w:h="16838"/>
      <w:pgMar w:top="2098" w:right="1531" w:bottom="2041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D23FDC-CE33-4834-80ED-9EA34DFC2C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B92EB9F5-E88B-4F63-A6AD-737740D22C7F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67E4F854-6C05-48EB-9A31-74B5F60B9B18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4BB2ED5-401B-4EC1-AC82-7C7A0E041CFD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DD2A47EE-CA09-4037-A7FB-0CEACAD0C76C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2D51F66E-ED35-4268-9F39-8860AF03412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5C42F240-0359-4DAB-9F50-7A334ED49B0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rFonts w:hint="default" w:ascii="Times New Roman" w:hAns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422"/>
      </w:tabs>
      <w:spacing w:line="179" w:lineRule="auto"/>
      <w:rPr>
        <w:rFonts w:hint="eastAsia" w:ascii="宋体" w:hAnsi="宋体" w:eastAsia="宋体" w:cs="宋体"/>
        <w:sz w:val="27"/>
        <w:szCs w:val="27"/>
        <w:lang w:eastAsia="zh-CN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17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Times New Roman" w:hAnsi="Times New Roman" w:cs="Times New Roman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Times New Roman" w:hAnsi="Times New Roman" w:cs="Times New Roman"/>
                        <w:sz w:val="18"/>
                        <w:szCs w:val="20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19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  <w:rPr>
        <w:rFonts w:ascii="Times New Roman" w:hAnsi="Times New Roman" w:eastAsia="宋体" w:cs="Times New Roman"/>
        <w:kern w:val="2"/>
        <w:sz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wYTRlY2U5MTMwZDhhOGQyMjM5N2NkZjI2ZTNmODkifQ=="/>
  </w:docVars>
  <w:rsids>
    <w:rsidRoot w:val="00172A27"/>
    <w:rsid w:val="00536C9A"/>
    <w:rsid w:val="00B341C8"/>
    <w:rsid w:val="014C6B51"/>
    <w:rsid w:val="01DB1247"/>
    <w:rsid w:val="023905D7"/>
    <w:rsid w:val="02E144BD"/>
    <w:rsid w:val="03046EEF"/>
    <w:rsid w:val="03CF6155"/>
    <w:rsid w:val="048D17D5"/>
    <w:rsid w:val="05192523"/>
    <w:rsid w:val="05467D5B"/>
    <w:rsid w:val="0696086E"/>
    <w:rsid w:val="06962C7A"/>
    <w:rsid w:val="071C4639"/>
    <w:rsid w:val="07575A59"/>
    <w:rsid w:val="07AC22B3"/>
    <w:rsid w:val="082B7813"/>
    <w:rsid w:val="08EA160E"/>
    <w:rsid w:val="09AC3B77"/>
    <w:rsid w:val="09CF4096"/>
    <w:rsid w:val="09D4558A"/>
    <w:rsid w:val="09EB2C7F"/>
    <w:rsid w:val="0A8B6BF1"/>
    <w:rsid w:val="0AC20ED7"/>
    <w:rsid w:val="0AD76615"/>
    <w:rsid w:val="0ADC1200"/>
    <w:rsid w:val="0B775EA1"/>
    <w:rsid w:val="0BE25A21"/>
    <w:rsid w:val="0C4C3AE9"/>
    <w:rsid w:val="0C522046"/>
    <w:rsid w:val="0CDD03C9"/>
    <w:rsid w:val="0D693198"/>
    <w:rsid w:val="0DD634F0"/>
    <w:rsid w:val="0DF203EA"/>
    <w:rsid w:val="0E1210EB"/>
    <w:rsid w:val="0E5721EA"/>
    <w:rsid w:val="0E686BCD"/>
    <w:rsid w:val="0EF95E3E"/>
    <w:rsid w:val="0F032535"/>
    <w:rsid w:val="0F2C7B13"/>
    <w:rsid w:val="0F5A115D"/>
    <w:rsid w:val="0FD52407"/>
    <w:rsid w:val="101F3746"/>
    <w:rsid w:val="10AC13BA"/>
    <w:rsid w:val="12483F6A"/>
    <w:rsid w:val="1261278F"/>
    <w:rsid w:val="129C4AF1"/>
    <w:rsid w:val="129D16BF"/>
    <w:rsid w:val="1322592B"/>
    <w:rsid w:val="137A20FF"/>
    <w:rsid w:val="13F94DB6"/>
    <w:rsid w:val="14055CBB"/>
    <w:rsid w:val="14235A62"/>
    <w:rsid w:val="14870709"/>
    <w:rsid w:val="15DD6303"/>
    <w:rsid w:val="16270D3D"/>
    <w:rsid w:val="17A162C2"/>
    <w:rsid w:val="17D3608C"/>
    <w:rsid w:val="17E65B30"/>
    <w:rsid w:val="17F67EE0"/>
    <w:rsid w:val="18423A7C"/>
    <w:rsid w:val="1844119B"/>
    <w:rsid w:val="18710536"/>
    <w:rsid w:val="1893014C"/>
    <w:rsid w:val="18EC395A"/>
    <w:rsid w:val="1A1660DA"/>
    <w:rsid w:val="1A2D4CBB"/>
    <w:rsid w:val="1A89121A"/>
    <w:rsid w:val="1AA92D4B"/>
    <w:rsid w:val="1AD15965"/>
    <w:rsid w:val="1AEE76BC"/>
    <w:rsid w:val="1AF84DB2"/>
    <w:rsid w:val="1B122762"/>
    <w:rsid w:val="1D152552"/>
    <w:rsid w:val="1DAB77C5"/>
    <w:rsid w:val="1E1B36DB"/>
    <w:rsid w:val="1E64181B"/>
    <w:rsid w:val="1FE76C1B"/>
    <w:rsid w:val="20A84C10"/>
    <w:rsid w:val="20C52024"/>
    <w:rsid w:val="20E9151E"/>
    <w:rsid w:val="21066432"/>
    <w:rsid w:val="220426D8"/>
    <w:rsid w:val="220E41C7"/>
    <w:rsid w:val="22DE117B"/>
    <w:rsid w:val="23871813"/>
    <w:rsid w:val="247E4225"/>
    <w:rsid w:val="255A4346"/>
    <w:rsid w:val="258764BC"/>
    <w:rsid w:val="258C59D8"/>
    <w:rsid w:val="258E3529"/>
    <w:rsid w:val="25BE0888"/>
    <w:rsid w:val="26405964"/>
    <w:rsid w:val="26525A2E"/>
    <w:rsid w:val="26633E71"/>
    <w:rsid w:val="26AB5A8A"/>
    <w:rsid w:val="270D324D"/>
    <w:rsid w:val="27307DB0"/>
    <w:rsid w:val="28164755"/>
    <w:rsid w:val="28363AEB"/>
    <w:rsid w:val="284A740F"/>
    <w:rsid w:val="285C61F8"/>
    <w:rsid w:val="286B525F"/>
    <w:rsid w:val="287C2FFC"/>
    <w:rsid w:val="28A42BC3"/>
    <w:rsid w:val="291814EB"/>
    <w:rsid w:val="29516ADF"/>
    <w:rsid w:val="2AF46579"/>
    <w:rsid w:val="2C471DB1"/>
    <w:rsid w:val="2D282227"/>
    <w:rsid w:val="2D400B54"/>
    <w:rsid w:val="2E990795"/>
    <w:rsid w:val="2EB14649"/>
    <w:rsid w:val="2F827680"/>
    <w:rsid w:val="2FD3662E"/>
    <w:rsid w:val="2FE029D7"/>
    <w:rsid w:val="3058256D"/>
    <w:rsid w:val="314371F2"/>
    <w:rsid w:val="31F201D2"/>
    <w:rsid w:val="326D7D7C"/>
    <w:rsid w:val="326F479E"/>
    <w:rsid w:val="32EB1216"/>
    <w:rsid w:val="34541C28"/>
    <w:rsid w:val="34727D99"/>
    <w:rsid w:val="349F07A5"/>
    <w:rsid w:val="34B1732A"/>
    <w:rsid w:val="34D22419"/>
    <w:rsid w:val="350A30A8"/>
    <w:rsid w:val="35490860"/>
    <w:rsid w:val="356C5F55"/>
    <w:rsid w:val="359958FC"/>
    <w:rsid w:val="38116393"/>
    <w:rsid w:val="38EB264A"/>
    <w:rsid w:val="3912527E"/>
    <w:rsid w:val="393039BD"/>
    <w:rsid w:val="39721654"/>
    <w:rsid w:val="39B70BF1"/>
    <w:rsid w:val="39E76033"/>
    <w:rsid w:val="3A2018BE"/>
    <w:rsid w:val="3B4F03C8"/>
    <w:rsid w:val="3B741117"/>
    <w:rsid w:val="3B867BA1"/>
    <w:rsid w:val="3C3E39EF"/>
    <w:rsid w:val="3D90320F"/>
    <w:rsid w:val="3DFF1689"/>
    <w:rsid w:val="3E6E6798"/>
    <w:rsid w:val="3F74782C"/>
    <w:rsid w:val="40243148"/>
    <w:rsid w:val="41577A20"/>
    <w:rsid w:val="41FE700E"/>
    <w:rsid w:val="43A23D14"/>
    <w:rsid w:val="43C73420"/>
    <w:rsid w:val="441D16AC"/>
    <w:rsid w:val="45B51A16"/>
    <w:rsid w:val="45B9189F"/>
    <w:rsid w:val="45CC45F7"/>
    <w:rsid w:val="46395E3E"/>
    <w:rsid w:val="48122BC8"/>
    <w:rsid w:val="483F7B9B"/>
    <w:rsid w:val="49206389"/>
    <w:rsid w:val="49220480"/>
    <w:rsid w:val="496E1B29"/>
    <w:rsid w:val="49BC54C3"/>
    <w:rsid w:val="49FD612F"/>
    <w:rsid w:val="4B475260"/>
    <w:rsid w:val="4CCB0D25"/>
    <w:rsid w:val="4D237C5B"/>
    <w:rsid w:val="4D286C8E"/>
    <w:rsid w:val="4D9A70DD"/>
    <w:rsid w:val="4EDB2465"/>
    <w:rsid w:val="4EED07E9"/>
    <w:rsid w:val="4F2C2748"/>
    <w:rsid w:val="4FAC100B"/>
    <w:rsid w:val="50A44264"/>
    <w:rsid w:val="51626547"/>
    <w:rsid w:val="51E40BB1"/>
    <w:rsid w:val="520B238D"/>
    <w:rsid w:val="52D613DA"/>
    <w:rsid w:val="52D80BA3"/>
    <w:rsid w:val="52FA73B6"/>
    <w:rsid w:val="532D499D"/>
    <w:rsid w:val="54334564"/>
    <w:rsid w:val="54424D2F"/>
    <w:rsid w:val="545E787F"/>
    <w:rsid w:val="54633683"/>
    <w:rsid w:val="550708F8"/>
    <w:rsid w:val="5521161C"/>
    <w:rsid w:val="55E06F1C"/>
    <w:rsid w:val="563C1617"/>
    <w:rsid w:val="57414849"/>
    <w:rsid w:val="57B261AE"/>
    <w:rsid w:val="59073CDE"/>
    <w:rsid w:val="59AC40CE"/>
    <w:rsid w:val="5A5621AC"/>
    <w:rsid w:val="5AB401BC"/>
    <w:rsid w:val="5C6D244C"/>
    <w:rsid w:val="5D0F3FF8"/>
    <w:rsid w:val="5D177A43"/>
    <w:rsid w:val="5D7319C7"/>
    <w:rsid w:val="5E0D4237"/>
    <w:rsid w:val="5F010472"/>
    <w:rsid w:val="5F425ACF"/>
    <w:rsid w:val="5F513886"/>
    <w:rsid w:val="5F703B62"/>
    <w:rsid w:val="5FB66778"/>
    <w:rsid w:val="60C43183"/>
    <w:rsid w:val="60D2659C"/>
    <w:rsid w:val="61223840"/>
    <w:rsid w:val="61556F56"/>
    <w:rsid w:val="6169590F"/>
    <w:rsid w:val="619511C3"/>
    <w:rsid w:val="629611DF"/>
    <w:rsid w:val="62CE7C41"/>
    <w:rsid w:val="62E92F24"/>
    <w:rsid w:val="62EF3D34"/>
    <w:rsid w:val="63AE3C93"/>
    <w:rsid w:val="64B111E7"/>
    <w:rsid w:val="64B14444"/>
    <w:rsid w:val="659108EB"/>
    <w:rsid w:val="65A92947"/>
    <w:rsid w:val="65CB23B8"/>
    <w:rsid w:val="66171507"/>
    <w:rsid w:val="66330E75"/>
    <w:rsid w:val="66730FA7"/>
    <w:rsid w:val="66B6315C"/>
    <w:rsid w:val="66D53311"/>
    <w:rsid w:val="67E575AA"/>
    <w:rsid w:val="68345928"/>
    <w:rsid w:val="68A235FA"/>
    <w:rsid w:val="6908207B"/>
    <w:rsid w:val="692E07C5"/>
    <w:rsid w:val="693E62A4"/>
    <w:rsid w:val="69401220"/>
    <w:rsid w:val="695967E4"/>
    <w:rsid w:val="69700315"/>
    <w:rsid w:val="6A134E78"/>
    <w:rsid w:val="6BE575CC"/>
    <w:rsid w:val="6CD56718"/>
    <w:rsid w:val="6D0B47C0"/>
    <w:rsid w:val="6D8C3E50"/>
    <w:rsid w:val="6D8E6FF3"/>
    <w:rsid w:val="6DDB53E5"/>
    <w:rsid w:val="6E823AA9"/>
    <w:rsid w:val="6EE25E1C"/>
    <w:rsid w:val="6EE415A3"/>
    <w:rsid w:val="6F0D763F"/>
    <w:rsid w:val="6F161201"/>
    <w:rsid w:val="6F273DC1"/>
    <w:rsid w:val="6F683873"/>
    <w:rsid w:val="6F700817"/>
    <w:rsid w:val="70441C01"/>
    <w:rsid w:val="705C056C"/>
    <w:rsid w:val="70DF6612"/>
    <w:rsid w:val="715465DF"/>
    <w:rsid w:val="718B1D52"/>
    <w:rsid w:val="724D0AFE"/>
    <w:rsid w:val="725C6020"/>
    <w:rsid w:val="72BD7D3F"/>
    <w:rsid w:val="73263829"/>
    <w:rsid w:val="733E4AD4"/>
    <w:rsid w:val="738F027F"/>
    <w:rsid w:val="748466BA"/>
    <w:rsid w:val="752A62F4"/>
    <w:rsid w:val="76BD6253"/>
    <w:rsid w:val="76C75098"/>
    <w:rsid w:val="770D7D95"/>
    <w:rsid w:val="776E4C01"/>
    <w:rsid w:val="77BB107B"/>
    <w:rsid w:val="78246358"/>
    <w:rsid w:val="78293B99"/>
    <w:rsid w:val="78567C9D"/>
    <w:rsid w:val="78693597"/>
    <w:rsid w:val="791C774D"/>
    <w:rsid w:val="79B570F1"/>
    <w:rsid w:val="7AE80619"/>
    <w:rsid w:val="7B1A4AF4"/>
    <w:rsid w:val="7BBA4757"/>
    <w:rsid w:val="7BCB5107"/>
    <w:rsid w:val="7CE15AE3"/>
    <w:rsid w:val="7CF36FB5"/>
    <w:rsid w:val="7DA261A2"/>
    <w:rsid w:val="7DB50BAF"/>
    <w:rsid w:val="7E020696"/>
    <w:rsid w:val="7E5020A2"/>
    <w:rsid w:val="7F6317BF"/>
    <w:rsid w:val="7F6861E3"/>
    <w:rsid w:val="7FD065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qFormat/>
    <w:uiPriority w:val="0"/>
    <w:pPr>
      <w:keepNext/>
      <w:keepLines/>
      <w:spacing w:line="600" w:lineRule="exact"/>
      <w:ind w:firstLine="0" w:firstLineChars="0"/>
      <w:outlineLvl w:val="1"/>
    </w:pPr>
    <w:rPr>
      <w:rFonts w:eastAsia="方正楷体_GBK"/>
      <w:bCs/>
      <w:kern w:val="0"/>
      <w:szCs w:val="32"/>
    </w:rPr>
  </w:style>
  <w:style w:type="paragraph" w:styleId="6">
    <w:name w:val="heading 3"/>
    <w:basedOn w:val="1"/>
    <w:next w:val="1"/>
    <w:unhideWhenUsed/>
    <w:qFormat/>
    <w:uiPriority w:val="0"/>
    <w:pPr>
      <w:spacing w:line="600" w:lineRule="atLeast"/>
      <w:ind w:firstLine="880"/>
      <w:outlineLvl w:val="2"/>
    </w:pPr>
    <w:rPr>
      <w:rFonts w:hint="eastAsia" w:eastAsia="方正楷体_GBK"/>
      <w:szCs w:val="24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468" w:beforeLines="150" w:after="624" w:afterLines="200"/>
    </w:pPr>
    <w:rPr>
      <w:rFonts w:ascii="黑体" w:hAnsi="宋体" w:eastAsia="黑体"/>
      <w:sz w:val="36"/>
    </w:rPr>
  </w:style>
  <w:style w:type="paragraph" w:styleId="3">
    <w:name w:val="toc 5"/>
    <w:next w:val="1"/>
    <w:unhideWhenUsed/>
    <w:qFormat/>
    <w:uiPriority w:val="39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7">
    <w:name w:val="Normal Indent"/>
    <w:basedOn w:val="1"/>
    <w:qFormat/>
    <w:uiPriority w:val="0"/>
    <w:pPr>
      <w:spacing w:line="570" w:lineRule="exact"/>
      <w:ind w:firstLine="616"/>
    </w:pPr>
    <w:rPr>
      <w:rFonts w:cs="黑体"/>
      <w:spacing w:val="-6"/>
    </w:rPr>
  </w:style>
  <w:style w:type="paragraph" w:styleId="8">
    <w:name w:val="index 5"/>
    <w:basedOn w:val="1"/>
    <w:next w:val="1"/>
    <w:qFormat/>
    <w:uiPriority w:val="99"/>
    <w:pPr>
      <w:ind w:right="210" w:rightChars="100" w:firstLine="640"/>
    </w:pPr>
    <w:rPr>
      <w:rFonts w:ascii="方正仿宋_GBK" w:hAnsi="方正仿宋_GBK" w:cs="方正仿宋_GBK"/>
      <w:color w:val="000000"/>
      <w:szCs w:val="32"/>
    </w:rPr>
  </w:style>
  <w:style w:type="paragraph" w:styleId="9">
    <w:name w:val="Body Text Indent"/>
    <w:basedOn w:val="1"/>
    <w:qFormat/>
    <w:uiPriority w:val="0"/>
    <w:pPr>
      <w:ind w:firstLine="200" w:firstLineChars="200"/>
    </w:pPr>
    <w:rPr>
      <w:sz w:val="32"/>
    </w:rPr>
  </w:style>
  <w:style w:type="paragraph" w:styleId="10">
    <w:name w:val="footer"/>
    <w:basedOn w:val="1"/>
    <w:next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1">
    <w:name w:val="索引 51"/>
    <w:basedOn w:val="1"/>
    <w:next w:val="1"/>
    <w:qFormat/>
    <w:uiPriority w:val="0"/>
    <w:pPr>
      <w:ind w:left="1680"/>
    </w:p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Body Text 2"/>
    <w:basedOn w:val="1"/>
    <w:qFormat/>
    <w:uiPriority w:val="0"/>
    <w:pPr>
      <w:snapToGrid w:val="0"/>
      <w:spacing w:line="540" w:lineRule="exact"/>
    </w:pPr>
    <w:rPr>
      <w:rFonts w:ascii="Times New Roman" w:hAnsi="Times New Roman" w:eastAsia="方正仿宋_GBK" w:cs="Times New Roman"/>
      <w:color w:val="000000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cs="Times New Roman"/>
      <w:kern w:val="0"/>
      <w:sz w:val="24"/>
      <w:szCs w:val="24"/>
    </w:rPr>
  </w:style>
  <w:style w:type="paragraph" w:styleId="15">
    <w:name w:val="Body Text First Indent"/>
    <w:qFormat/>
    <w:uiPriority w:val="0"/>
    <w:pPr>
      <w:widowControl w:val="0"/>
      <w:autoSpaceDE w:val="0"/>
      <w:autoSpaceDN w:val="0"/>
      <w:spacing w:after="160"/>
      <w:ind w:left="100" w:leftChars="100" w:right="100" w:rightChars="100" w:firstLine="420" w:firstLineChars="1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6">
    <w:name w:val="Body Text First Indent 2"/>
    <w:basedOn w:val="9"/>
    <w:qFormat/>
    <w:uiPriority w:val="0"/>
    <w:pPr>
      <w:widowControl w:val="0"/>
      <w:adjustRightInd w:val="0"/>
      <w:spacing w:after="120" w:line="312" w:lineRule="atLeast"/>
      <w:ind w:left="420" w:leftChars="200" w:firstLine="420" w:firstLineChars="200"/>
      <w:jc w:val="both"/>
      <w:textAlignment w:val="baseline"/>
    </w:pPr>
    <w:rPr>
      <w:rFonts w:ascii="Times New Roman" w:hAnsi="Times New Roman" w:eastAsia="宋体" w:cs="Times New Roman"/>
      <w:sz w:val="32"/>
      <w:szCs w:val="32"/>
      <w:lang w:val="en-US" w:eastAsia="zh-CN" w:bidi="ar-SA"/>
    </w:rPr>
  </w:style>
  <w:style w:type="table" w:styleId="1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page number"/>
    <w:basedOn w:val="19"/>
    <w:qFormat/>
    <w:uiPriority w:val="0"/>
  </w:style>
  <w:style w:type="paragraph" w:customStyle="1" w:styleId="22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Calibri" w:cs="Times New Roman"/>
      <w:i/>
      <w:sz w:val="21"/>
      <w:lang w:val="en-US" w:eastAsia="zh-CN" w:bidi="ar-SA"/>
    </w:rPr>
  </w:style>
  <w:style w:type="paragraph" w:customStyle="1" w:styleId="23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Calibri" w:cs="Times New Roman"/>
      <w:i/>
      <w:sz w:val="21"/>
      <w:szCs w:val="22"/>
      <w:lang w:val="en-US" w:eastAsia="zh-CN" w:bidi="ar-SA"/>
    </w:rPr>
  </w:style>
  <w:style w:type="character" w:customStyle="1" w:styleId="24">
    <w:name w:val="font21"/>
    <w:basedOn w:val="19"/>
    <w:qFormat/>
    <w:uiPriority w:val="0"/>
    <w:rPr>
      <w:rFonts w:ascii="方正仿宋_GBK" w:hAnsi="方正仿宋_GBK" w:eastAsia="方正仿宋_GBK" w:cs="方正仿宋_GBK"/>
      <w:color w:val="333333"/>
      <w:sz w:val="28"/>
      <w:szCs w:val="28"/>
      <w:u w:val="none"/>
    </w:rPr>
  </w:style>
  <w:style w:type="character" w:customStyle="1" w:styleId="25">
    <w:name w:val="font11"/>
    <w:basedOn w:val="19"/>
    <w:qFormat/>
    <w:uiPriority w:val="0"/>
    <w:rPr>
      <w:rFonts w:hint="default" w:ascii="Times New Roman" w:hAnsi="Times New Roman" w:cs="Times New Roman"/>
      <w:color w:val="333333"/>
      <w:sz w:val="28"/>
      <w:szCs w:val="28"/>
      <w:u w:val="none"/>
    </w:rPr>
  </w:style>
  <w:style w:type="character" w:customStyle="1" w:styleId="26">
    <w:name w:val="font31"/>
    <w:basedOn w:val="19"/>
    <w:qFormat/>
    <w:uiPriority w:val="0"/>
    <w:rPr>
      <w:rFonts w:ascii="方正仿宋_GBK" w:hAnsi="方正仿宋_GBK" w:eastAsia="方正仿宋_GBK" w:cs="方正仿宋_GBK"/>
      <w:color w:val="333333"/>
      <w:sz w:val="28"/>
      <w:szCs w:val="28"/>
      <w:u w:val="none"/>
    </w:rPr>
  </w:style>
  <w:style w:type="character" w:customStyle="1" w:styleId="27">
    <w:name w:val="font41"/>
    <w:basedOn w:val="19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28">
    <w:name w:val="font61"/>
    <w:basedOn w:val="19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9">
    <w:name w:val="font51"/>
    <w:basedOn w:val="1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0">
    <w:name w:val="font71"/>
    <w:basedOn w:val="19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paragraph" w:customStyle="1" w:styleId="31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黑体_GBK" w:hAnsi="方正黑体_GBK" w:eastAsia="方正黑体_GBK" w:cs="Times New Roman"/>
      <w:color w:val="000000"/>
      <w:sz w:val="24"/>
      <w:szCs w:val="22"/>
      <w:lang w:val="en-US" w:eastAsia="zh-CN" w:bidi="ar-SA"/>
    </w:rPr>
  </w:style>
  <w:style w:type="paragraph" w:customStyle="1" w:styleId="32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33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34">
    <w:name w:val="font81"/>
    <w:basedOn w:val="19"/>
    <w:qFormat/>
    <w:uiPriority w:val="0"/>
    <w:rPr>
      <w:rFonts w:hint="eastAsia" w:ascii="方正黑体_GBK" w:hAnsi="方正黑体_GBK" w:eastAsia="方正黑体_GBK" w:cs="方正黑体_GBK"/>
      <w:color w:val="000000"/>
      <w:sz w:val="22"/>
      <w:szCs w:val="22"/>
      <w:u w:val="none"/>
    </w:rPr>
  </w:style>
  <w:style w:type="table" w:customStyle="1" w:styleId="3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6">
    <w:name w:val="Table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  <w:style w:type="paragraph" w:customStyle="1" w:styleId="37">
    <w:name w:val="标题 #1"/>
    <w:basedOn w:val="1"/>
    <w:qFormat/>
    <w:uiPriority w:val="0"/>
    <w:pPr>
      <w:spacing w:after="60" w:line="652" w:lineRule="exact"/>
      <w:jc w:val="center"/>
      <w:outlineLvl w:val="0"/>
    </w:pPr>
    <w:rPr>
      <w:rFonts w:ascii="黑体" w:hAnsi="黑体" w:eastAsia="黑体" w:cs="黑体"/>
      <w:color w:val="000000"/>
      <w:kern w:val="0"/>
      <w:sz w:val="36"/>
      <w:szCs w:val="36"/>
      <w:lang w:val="zh-CN" w:bidi="zh-CN"/>
    </w:rPr>
  </w:style>
  <w:style w:type="paragraph" w:customStyle="1" w:styleId="38">
    <w:name w:val="正文文本1"/>
    <w:basedOn w:val="1"/>
    <w:qFormat/>
    <w:uiPriority w:val="0"/>
    <w:pPr>
      <w:spacing w:after="140" w:line="480" w:lineRule="auto"/>
      <w:ind w:firstLine="400"/>
      <w:jc w:val="left"/>
    </w:pPr>
    <w:rPr>
      <w:rFonts w:ascii="宋体" w:hAnsi="宋体"/>
      <w:color w:val="000000"/>
      <w:kern w:val="0"/>
      <w:sz w:val="26"/>
      <w:szCs w:val="26"/>
      <w:lang w:val="zh-CN" w:bidi="zh-CN"/>
    </w:rPr>
  </w:style>
  <w:style w:type="paragraph" w:customStyle="1" w:styleId="39">
    <w:name w:val="No Spacing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paragraph" w:customStyle="1" w:styleId="40">
    <w:name w:val="index 6"/>
    <w:basedOn w:val="1"/>
    <w:qFormat/>
    <w:uiPriority w:val="0"/>
    <w:pPr>
      <w:kinsoku w:val="0"/>
      <w:autoSpaceDE w:val="0"/>
      <w:autoSpaceDN w:val="0"/>
      <w:adjustRightInd w:val="0"/>
      <w:snapToGrid w:val="0"/>
      <w:ind w:left="2100"/>
      <w:jc w:val="left"/>
      <w:textAlignment w:val="baseline"/>
    </w:pPr>
    <w:rPr>
      <w:rFonts w:hint="default" w:ascii="Arial" w:hAnsi="Arial" w:cs="Arial"/>
      <w:snapToGrid/>
      <w:color w:val="000000"/>
      <w:kern w:val="0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7334</Words>
  <Characters>8244</Characters>
  <Lines>0</Lines>
  <Paragraphs>0</Paragraphs>
  <TotalTime>12</TotalTime>
  <ScaleCrop>false</ScaleCrop>
  <LinksUpToDate>false</LinksUpToDate>
  <CharactersWithSpaces>8371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蛆</cp:lastModifiedBy>
  <cp:lastPrinted>2024-04-19T01:03:00Z</cp:lastPrinted>
  <dcterms:modified xsi:type="dcterms:W3CDTF">2024-07-09T01:18:35Z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9C7A6D1DDF364C0D9B1FC073821B6898</vt:lpwstr>
  </property>
</Properties>
</file>