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4" w:lineRule="exact"/>
        <w:textAlignment w:val="auto"/>
        <w:rPr>
          <w:rFonts w:hint="eastAsia" w:ascii="方正黑体_GBK" w:hAnsi="方正黑体_GBK" w:eastAsia="方正黑体_GBK" w:cs="方正黑体_GBK"/>
          <w:lang w:val="en-US" w:eastAsia="zh-CN"/>
        </w:rPr>
      </w:pPr>
    </w:p>
    <w:p>
      <w:pPr>
        <w:keepNext w:val="0"/>
        <w:keepLines w:val="0"/>
        <w:pageBreakBefore w:val="0"/>
        <w:widowControl w:val="0"/>
        <w:kinsoku/>
        <w:wordWrap/>
        <w:overflowPunct/>
        <w:topLinePunct w:val="0"/>
        <w:autoSpaceDE/>
        <w:autoSpaceDN/>
        <w:bidi w:val="0"/>
        <w:adjustRightInd/>
        <w:snapToGrid/>
        <w:spacing w:line="504" w:lineRule="exact"/>
        <w:textAlignment w:val="auto"/>
        <w:rPr>
          <w:rFonts w:eastAsia="方正黑体_GBK"/>
        </w:rPr>
      </w:pPr>
    </w:p>
    <w:p>
      <w:pPr>
        <w:keepNext w:val="0"/>
        <w:keepLines w:val="0"/>
        <w:pageBreakBefore w:val="0"/>
        <w:widowControl w:val="0"/>
        <w:kinsoku/>
        <w:wordWrap/>
        <w:overflowPunct/>
        <w:topLinePunct w:val="0"/>
        <w:autoSpaceDE/>
        <w:autoSpaceDN/>
        <w:bidi w:val="0"/>
        <w:adjustRightInd/>
        <w:snapToGrid/>
        <w:spacing w:line="504" w:lineRule="exact"/>
        <w:textAlignment w:val="auto"/>
        <w:rPr>
          <w:rFonts w:eastAsia="方正黑体_GBK"/>
        </w:rPr>
      </w:pPr>
    </w:p>
    <w:p>
      <w:pPr>
        <w:keepNext w:val="0"/>
        <w:keepLines w:val="0"/>
        <w:pageBreakBefore w:val="0"/>
        <w:widowControl w:val="0"/>
        <w:kinsoku/>
        <w:wordWrap/>
        <w:overflowPunct/>
        <w:topLinePunct w:val="0"/>
        <w:autoSpaceDE/>
        <w:autoSpaceDN/>
        <w:bidi w:val="0"/>
        <w:adjustRightInd/>
        <w:snapToGrid/>
        <w:spacing w:line="504" w:lineRule="exact"/>
        <w:textAlignment w:val="auto"/>
      </w:pPr>
    </w:p>
    <w:p>
      <w:pPr>
        <w:keepNext w:val="0"/>
        <w:keepLines w:val="0"/>
        <w:pageBreakBefore w:val="0"/>
        <w:widowControl w:val="0"/>
        <w:kinsoku/>
        <w:wordWrap/>
        <w:overflowPunct/>
        <w:topLinePunct w:val="0"/>
        <w:autoSpaceDE/>
        <w:autoSpaceDN/>
        <w:bidi w:val="0"/>
        <w:adjustRightInd/>
        <w:snapToGrid/>
        <w:spacing w:line="504" w:lineRule="exact"/>
        <w:textAlignment w:val="auto"/>
      </w:pPr>
    </w:p>
    <w:p>
      <w:pPr>
        <w:keepNext w:val="0"/>
        <w:keepLines w:val="0"/>
        <w:pageBreakBefore w:val="0"/>
        <w:widowControl w:val="0"/>
        <w:kinsoku/>
        <w:wordWrap/>
        <w:overflowPunct/>
        <w:topLinePunct w:val="0"/>
        <w:autoSpaceDE/>
        <w:autoSpaceDN/>
        <w:bidi w:val="0"/>
        <w:adjustRightInd/>
        <w:snapToGrid/>
        <w:spacing w:line="504" w:lineRule="exact"/>
        <w:textAlignment w:val="auto"/>
      </w:pPr>
    </w:p>
    <w:p>
      <w:pPr>
        <w:keepNext w:val="0"/>
        <w:keepLines w:val="0"/>
        <w:pageBreakBefore w:val="0"/>
        <w:widowControl w:val="0"/>
        <w:kinsoku/>
        <w:wordWrap/>
        <w:overflowPunct/>
        <w:topLinePunct w:val="0"/>
        <w:autoSpaceDE/>
        <w:autoSpaceDN/>
        <w:bidi w:val="0"/>
        <w:adjustRightInd/>
        <w:snapToGrid/>
        <w:spacing w:line="504" w:lineRule="exact"/>
        <w:textAlignment w:val="auto"/>
      </w:pPr>
    </w:p>
    <w:p>
      <w:pPr>
        <w:keepNext w:val="0"/>
        <w:keepLines w:val="0"/>
        <w:pageBreakBefore w:val="0"/>
        <w:widowControl w:val="0"/>
        <w:kinsoku/>
        <w:wordWrap/>
        <w:overflowPunct/>
        <w:topLinePunct w:val="0"/>
        <w:autoSpaceDE/>
        <w:autoSpaceDN/>
        <w:bidi w:val="0"/>
        <w:adjustRightInd/>
        <w:snapToGrid/>
        <w:spacing w:line="504" w:lineRule="exact"/>
        <w:jc w:val="center"/>
        <w:textAlignment w:val="auto"/>
      </w:pPr>
    </w:p>
    <w:p>
      <w:pPr>
        <w:pStyle w:val="3"/>
        <w:keepNext w:val="0"/>
        <w:keepLines w:val="0"/>
        <w:pageBreakBefore w:val="0"/>
        <w:widowControl w:val="0"/>
        <w:kinsoku/>
        <w:wordWrap/>
        <w:overflowPunct/>
        <w:topLinePunct w:val="0"/>
        <w:autoSpaceDE/>
        <w:autoSpaceDN/>
        <w:bidi w:val="0"/>
        <w:adjustRightInd/>
        <w:snapToGrid/>
        <w:spacing w:line="504" w:lineRule="exact"/>
        <w:jc w:val="both"/>
        <w:textAlignment w:val="auto"/>
      </w:pPr>
    </w:p>
    <w:p>
      <w:pPr>
        <w:pStyle w:val="3"/>
        <w:keepNext w:val="0"/>
        <w:keepLines w:val="0"/>
        <w:pageBreakBefore w:val="0"/>
        <w:widowControl w:val="0"/>
        <w:kinsoku/>
        <w:wordWrap/>
        <w:overflowPunct/>
        <w:topLinePunct w:val="0"/>
        <w:autoSpaceDE/>
        <w:autoSpaceDN/>
        <w:bidi w:val="0"/>
        <w:adjustRightInd/>
        <w:snapToGrid/>
        <w:spacing w:line="460" w:lineRule="exact"/>
        <w:jc w:val="both"/>
        <w:textAlignment w:val="auto"/>
      </w:pPr>
    </w:p>
    <w:p>
      <w:pPr>
        <w:pStyle w:val="4"/>
        <w:keepNext w:val="0"/>
        <w:keepLines w:val="0"/>
        <w:pageBreakBefore w:val="0"/>
        <w:widowControl w:val="0"/>
        <w:kinsoku/>
        <w:wordWrap/>
        <w:overflowPunct/>
        <w:topLinePunct w:val="0"/>
        <w:autoSpaceDE/>
        <w:autoSpaceDN/>
        <w:bidi w:val="0"/>
        <w:adjustRightInd/>
        <w:snapToGrid/>
        <w:spacing w:line="460" w:lineRule="exact"/>
        <w:textAlignment w:val="auto"/>
      </w:pPr>
    </w:p>
    <w:p>
      <w:pPr>
        <w:jc w:val="center"/>
      </w:pPr>
      <w:bookmarkStart w:id="0" w:name="_GoBack"/>
      <w:bookmarkEnd w:id="0"/>
      <w:r>
        <w:rPr>
          <w:rFonts w:hint="eastAsia"/>
          <w:lang w:eastAsia="zh-CN"/>
        </w:rPr>
        <w:t>南川</w:t>
      </w:r>
      <w:r>
        <w:t>发改</w:t>
      </w:r>
      <w:r>
        <w:rPr>
          <w:rFonts w:hint="eastAsia"/>
          <w:lang w:eastAsia="zh-CN"/>
        </w:rPr>
        <w:t>委发</w:t>
      </w:r>
      <w:r>
        <w:t>〔20</w:t>
      </w:r>
      <w:r>
        <w:rPr>
          <w:rFonts w:hint="eastAsia"/>
        </w:rPr>
        <w:t>2</w:t>
      </w:r>
      <w:r>
        <w:rPr>
          <w:rFonts w:hint="eastAsia"/>
          <w:lang w:val="en-US" w:eastAsia="zh-CN"/>
        </w:rPr>
        <w:t>6</w:t>
      </w:r>
      <w:r>
        <w:t>〕</w:t>
      </w:r>
      <w:r>
        <w:rPr>
          <w:rFonts w:hint="eastAsia"/>
          <w:lang w:val="en-US" w:eastAsia="zh-CN"/>
        </w:rPr>
        <w:t>69</w:t>
      </w:r>
      <w: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关于东城街道养老服务中心等3家养老机构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基本养老服务收费标准的通知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重庆市南川区颐景康养服务有限责任公司</w:t>
      </w:r>
      <w:r>
        <w:rPr>
          <w:rFonts w:hint="eastAsia" w:ascii="Times New Roman" w:hAnsi="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kern w:val="0"/>
          <w:sz w:val="32"/>
          <w:szCs w:val="32"/>
          <w:lang w:val="en-US" w:eastAsia="zh-CN"/>
        </w:rPr>
      </w:pPr>
      <w:r>
        <w:rPr>
          <w:rFonts w:hint="eastAsia" w:ascii="Times New Roman" w:hAnsi="Times New Roman" w:eastAsia="方正仿宋_GBK" w:cs="Times New Roman"/>
          <w:sz w:val="32"/>
          <w:szCs w:val="32"/>
        </w:rPr>
        <w:t>为规范公办养老机构收费行为，</w:t>
      </w:r>
      <w:r>
        <w:rPr>
          <w:rFonts w:hint="eastAsia"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rPr>
        <w:t>《重庆市发展和改革委员会关于公布〈重庆市定价目录〉的通知》</w:t>
      </w:r>
      <w:r>
        <w:rPr>
          <w:rFonts w:hint="default" w:ascii="Times New Roman" w:hAnsi="Times New Roman" w:eastAsia="方正仿宋_GBK" w:cs="Times New Roman"/>
          <w:sz w:val="32"/>
          <w:szCs w:val="32"/>
          <w:lang w:val="en-US" w:eastAsia="zh-CN"/>
        </w:rPr>
        <w:t>（渝发改规范〔2021〕15号）</w:t>
      </w:r>
      <w:r>
        <w:rPr>
          <w:rFonts w:hint="eastAsia" w:ascii="Times New Roman" w:hAnsi="Times New Roman" w:eastAsia="方正仿宋_GBK" w:cs="Times New Roman"/>
          <w:sz w:val="32"/>
          <w:szCs w:val="32"/>
          <w:lang w:val="en-US" w:eastAsia="zh-CN"/>
        </w:rPr>
        <w:t>要求，</w:t>
      </w:r>
      <w:r>
        <w:rPr>
          <w:rFonts w:hint="eastAsia"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lang w:val="en-US" w:eastAsia="zh-CN"/>
        </w:rPr>
        <w:t>你司基本养老服务</w:t>
      </w:r>
      <w:r>
        <w:rPr>
          <w:rFonts w:hint="eastAsia" w:ascii="Times New Roman" w:hAnsi="Times New Roman" w:eastAsia="方正仿宋_GBK" w:cs="Times New Roman"/>
          <w:sz w:val="32"/>
          <w:szCs w:val="32"/>
        </w:rPr>
        <w:t>成本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结合我区实际，</w:t>
      </w:r>
      <w:r>
        <w:rPr>
          <w:rFonts w:hint="eastAsia" w:ascii="Times New Roman" w:hAnsi="Times New Roman" w:eastAsia="方正仿宋_GBK" w:cs="Times New Roman"/>
          <w:sz w:val="32"/>
          <w:szCs w:val="32"/>
        </w:rPr>
        <w:t>经</w:t>
      </w:r>
      <w:r>
        <w:rPr>
          <w:rFonts w:hint="eastAsia" w:ascii="Times New Roman" w:hAnsi="Times New Roman" w:eastAsia="方正仿宋_GBK" w:cs="Times New Roman"/>
          <w:sz w:val="32"/>
          <w:szCs w:val="32"/>
          <w:lang w:val="en-US" w:eastAsia="zh-CN"/>
        </w:rPr>
        <w:t>区政府同意</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现将</w:t>
      </w:r>
      <w:r>
        <w:rPr>
          <w:rFonts w:hint="eastAsia" w:ascii="Times New Roman" w:hAnsi="Times New Roman" w:eastAsia="方正仿宋_GBK" w:cs="Times New Roman"/>
          <w:sz w:val="32"/>
          <w:szCs w:val="32"/>
          <w:lang w:val="en-US" w:eastAsia="zh-CN"/>
        </w:rPr>
        <w:t>东城街道养老服务中心等3家养老机构养老服务收费管理及相</w:t>
      </w:r>
      <w:r>
        <w:rPr>
          <w:rFonts w:hint="eastAsia" w:ascii="Times New Roman" w:hAnsi="Times New Roman" w:eastAsia="方正仿宋_GBK" w:cs="Times New Roman"/>
          <w:sz w:val="32"/>
          <w:szCs w:val="32"/>
          <w:lang w:eastAsia="zh-CN"/>
        </w:rPr>
        <w:t>关</w:t>
      </w:r>
      <w:r>
        <w:rPr>
          <w:rFonts w:hint="eastAsia" w:ascii="Times New Roman" w:hAnsi="Times New Roman" w:eastAsia="方正仿宋_GBK" w:cs="Times New Roman"/>
          <w:sz w:val="32"/>
          <w:szCs w:val="32"/>
          <w:lang w:val="en-US" w:eastAsia="zh-CN"/>
        </w:rPr>
        <w:t>事项</w:t>
      </w:r>
      <w:r>
        <w:rPr>
          <w:rFonts w:hint="eastAsia" w:ascii="Times New Roman" w:hAnsi="Times New Roman" w:eastAsia="方正仿宋_GBK" w:cs="Times New Roman"/>
          <w:sz w:val="32"/>
          <w:szCs w:val="32"/>
          <w:lang w:eastAsia="zh-CN"/>
        </w:rPr>
        <w:t>通知如下。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一、基本养老服务收费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仿宋_GB18030" w:hAnsi="方正仿宋_GB18030" w:eastAsia="方正仿宋_GB18030" w:cs="方正仿宋_GB18030"/>
          <w:kern w:val="0"/>
          <w:sz w:val="32"/>
          <w:szCs w:val="32"/>
          <w:lang w:val="en-US" w:eastAsia="zh-CN"/>
        </w:rPr>
      </w:pPr>
      <w:r>
        <w:rPr>
          <w:rFonts w:hint="eastAsia" w:ascii="方正仿宋_GB18030" w:hAnsi="方正仿宋_GB18030" w:eastAsia="方正仿宋_GB18030" w:cs="方正仿宋_GB18030"/>
          <w:kern w:val="0"/>
          <w:sz w:val="32"/>
          <w:szCs w:val="32"/>
          <w:lang w:val="en-US" w:eastAsia="zh-CN"/>
        </w:rPr>
        <w:t>（一）基本养老服务收费（床位费、护理费）实行政府指导价管理，最高限价收费标准见下表。</w:t>
      </w:r>
    </w:p>
    <w:tbl>
      <w:tblPr>
        <w:tblStyle w:val="8"/>
        <w:tblpPr w:leftFromText="180" w:rightFromText="180" w:vertAnchor="text" w:tblpXSpec="center" w:tblpY="1"/>
        <w:tblOverlap w:val="never"/>
        <w:tblW w:w="8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4"/>
        <w:gridCol w:w="1832"/>
        <w:gridCol w:w="1622"/>
        <w:gridCol w:w="1622"/>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exact"/>
          <w:jc w:val="center"/>
        </w:trPr>
        <w:tc>
          <w:tcPr>
            <w:tcW w:w="8212"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32"/>
                <w:szCs w:val="32"/>
                <w:u w:val="none"/>
                <w:lang w:val="en-US" w:eastAsia="zh-CN" w:bidi="ar"/>
              </w:rPr>
              <w:t>东城养老服务中心基本养老服务收费标准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护理类型</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房间分类</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收费标准（元/每人.月）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床位费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自 理</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3437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 助</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3437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介护一级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3437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介护二级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3437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1063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1063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1063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介护三级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3437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1329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1921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1329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1824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1329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exact"/>
          <w:jc w:val="center"/>
        </w:trPr>
        <w:tc>
          <w:tcPr>
            <w:tcW w:w="8212"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32"/>
                <w:szCs w:val="32"/>
                <w:u w:val="none"/>
                <w:lang w:val="en-US" w:eastAsia="zh-CN" w:bidi="ar"/>
              </w:rPr>
              <w:t>南城养老服务中心基本养老服务收费标准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护理类型</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房间分类</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收费标准（元/每人.月）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床位费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自 理</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 助</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介护一级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561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介护二级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介护三级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2952 </w:t>
            </w:r>
          </w:p>
        </w:tc>
      </w:tr>
    </w:tbl>
    <w:p>
      <w:pPr>
        <w:jc w:val="center"/>
      </w:pPr>
      <w:r>
        <w:rPr>
          <w:rFonts w:hint="default" w:ascii="Times New Roman" w:hAnsi="Times New Roman" w:eastAsia="方正黑体_GBK" w:cs="Times New Roman"/>
          <w:i w:val="0"/>
          <w:iCs w:val="0"/>
          <w:color w:val="000000"/>
          <w:kern w:val="0"/>
          <w:sz w:val="32"/>
          <w:szCs w:val="32"/>
          <w:u w:val="none"/>
          <w:lang w:val="en-US" w:eastAsia="zh-CN" w:bidi="ar"/>
        </w:rPr>
        <w:t>三泉养老院基本养老服务收费标准</w:t>
      </w:r>
    </w:p>
    <w:tbl>
      <w:tblPr>
        <w:tblStyle w:val="8"/>
        <w:tblW w:w="8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4"/>
        <w:gridCol w:w="1832"/>
        <w:gridCol w:w="1622"/>
        <w:gridCol w:w="1622"/>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tblHeader/>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护理类型</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房间分类</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收费标准（元/每人.月）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tblHeader/>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床位费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护理费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自理</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豪间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485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 助</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548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548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豪间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548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介护一级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豪间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介护二级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877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877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豪间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877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介护三级</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1096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双人间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869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1096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黑体_GBK" w:cs="Times New Roman"/>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豪间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3032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1096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4128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仿宋_GBK" w:cs="Times New Roman"/>
          <w:sz w:val="32"/>
          <w:szCs w:val="32"/>
          <w:lang w:val="en-US" w:eastAsia="zh-CN"/>
        </w:rPr>
        <w:t>说明：以上为最高收费标准，可根据市场情况适当下浮。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除床位费、护理费以外，不得另行收取其它基本养老服务费。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二、其它服务收费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val="en-US" w:eastAsia="zh-CN"/>
        </w:rPr>
        <w:t>伙食费标准由养老服务机构按照非营利要求，根据食堂伙食成本合理确定。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lang w:val="en-US" w:eastAsia="zh-CN"/>
        </w:rPr>
        <w:t>（二）基本养老服务以外的特约服务收费按照自愿、非强制的原则，由休养老人自主选择，具体收费标准由养老服务中心与入住老年人或其它委托人双方协商确定。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三、收费和退费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（一）收费。原则上按月收取，特殊情况可以预收，预收期不得超过6个月。入院当月按实际入住天数计收。入院以后，不足15天的按半月收取，超过15天不足1月的，按1月收取。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退费。休养老人因故请假外出或其他原因中断休养而未办理出院手续，连续中断休养时间7天（含）以上的，按实际中断天数扣减2天退伙食费；休养人员外出就医住院且连续7天（含）以上的，凭医院出院证明或医疗票据，按实际中断天数扣减2天退护理费、伙食费；休养人员办理出院的，按当月剩余天数退床位费、护理费、伙食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四、服务质量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对休养老人按照《老年人能力评估规范》（GB／T 42195-2022）开展评估，根据评估报告结论确定相应的护理等级。自理、介助、介护的服务质量按照《养老机构自理老人服务规范》（DB50／T 1124-2021）、《养老机构介助老人服务规范》（DB50／T 1123-2021）、《养老机构老年人介护服务规范》（DB50／T 590-2015）三项重庆市地方标准执行。</w:t>
      </w:r>
      <w:r>
        <w:rPr>
          <w:rFonts w:hint="default" w:ascii="Times New Roman" w:hAnsi="Times New Roman" w:eastAsia="方正仿宋_GBK" w:cs="Times New Roman"/>
          <w:sz w:val="32"/>
          <w:szCs w:val="32"/>
          <w:lang w:val="en-US" w:eastAsia="zh-CN"/>
        </w:rPr>
        <w:t>若有新规定，从其规定。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五、明码标价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仿宋_GBK" w:cs="Times New Roman"/>
          <w:sz w:val="32"/>
          <w:szCs w:val="32"/>
          <w:lang w:val="en-US" w:eastAsia="zh-CN"/>
        </w:rPr>
        <w:t>养老机构</w:t>
      </w:r>
      <w:r>
        <w:rPr>
          <w:rFonts w:hint="default" w:ascii="Times New Roman" w:hAnsi="Times New Roman" w:eastAsia="方正仿宋_GBK" w:cs="Times New Roman"/>
          <w:sz w:val="32"/>
          <w:szCs w:val="32"/>
        </w:rPr>
        <w:t>应严格按照本通知规定的收费标准执行，并在收费场所显著位置公示收费项目、收费标准等信息，</w:t>
      </w:r>
      <w:r>
        <w:rPr>
          <w:rFonts w:hint="default" w:ascii="Times New Roman" w:hAnsi="Times New Roman" w:eastAsia="方正仿宋_GBK" w:cs="Times New Roman"/>
          <w:sz w:val="32"/>
          <w:szCs w:val="32"/>
          <w:lang w:val="en-US" w:eastAsia="zh-CN"/>
        </w:rPr>
        <w:t>自觉接受行业主管部门、价格主管部门、市场监管部门和</w:t>
      </w:r>
      <w:r>
        <w:rPr>
          <w:rFonts w:hint="default" w:ascii="Times New Roman" w:hAnsi="Times New Roman" w:eastAsia="方正仿宋_GBK" w:cs="Times New Roman"/>
          <w:sz w:val="32"/>
          <w:szCs w:val="32"/>
        </w:rPr>
        <w:t>社会监督。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本通知自2026年</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月1日起施行。</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方正仿宋_GBK" w:hAnsi="方正仿宋_GBK" w:eastAsia="方正仿宋_GBK" w:cs="方正仿宋_GBK"/>
          <w:sz w:val="32"/>
          <w:szCs w:val="32"/>
          <w:lang w:val="en-US" w:eastAsia="zh-CN"/>
        </w:rPr>
      </w:pPr>
    </w:p>
    <w:p>
      <w:pPr>
        <w:pStyle w:val="4"/>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重庆市南川</w:t>
      </w:r>
      <w:r>
        <w:rPr>
          <w:rFonts w:hint="eastAsia" w:ascii="Times New Roman" w:hAnsi="Times New Roman" w:eastAsia="方正仿宋_GBK" w:cs="Times New Roman"/>
          <w:sz w:val="32"/>
          <w:szCs w:val="32"/>
        </w:rPr>
        <w:t>区发展和改革委员会</w:t>
      </w:r>
      <w:r>
        <w:rPr>
          <w:rFonts w:hint="eastAsia" w:ascii="Times New Roman" w:hAnsi="Times New Roman" w:cs="Times New Roman"/>
          <w:sz w:val="32"/>
          <w:szCs w:val="32"/>
          <w:lang w:val="en-US" w:eastAsia="zh-CN"/>
        </w:rPr>
        <w:t xml:space="preserve">          重庆市南川区民政局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20</w:t>
      </w:r>
      <w:r>
        <w:rPr>
          <w:rFonts w:hint="eastAsia" w:ascii="Times New Roman" w:hAnsi="Times New Roman" w:eastAsia="方正仿宋_GBK" w:cs="Times New Roman"/>
          <w:sz w:val="32"/>
          <w:szCs w:val="32"/>
          <w:lang w:val="en-US" w:eastAsia="zh-CN"/>
        </w:rPr>
        <w:t>26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7</w:t>
      </w:r>
      <w:r>
        <w:rPr>
          <w:rFonts w:hint="eastAsia"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此件公开发布）</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both"/>
        <w:textAlignment w:val="bottom"/>
        <w:outlineLvl w:val="9"/>
      </w:pPr>
    </w:p>
    <w:sectPr>
      <w:footerReference r:id="rId3" w:type="default"/>
      <w:pgSz w:w="11906" w:h="16838"/>
      <w:pgMar w:top="1984" w:right="1446" w:bottom="1644" w:left="1446" w:header="851" w:footer="1474"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5"/>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335E1"/>
    <w:multiLevelType w:val="singleLevel"/>
    <w:tmpl w:val="5FB335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NDRhNjlkNWQ5ZWU2OWYxZTBkY2NhOTA5MWM2YTIifQ=="/>
  </w:docVars>
  <w:rsids>
    <w:rsidRoot w:val="3D887524"/>
    <w:rsid w:val="00283586"/>
    <w:rsid w:val="0036302F"/>
    <w:rsid w:val="003A0EDD"/>
    <w:rsid w:val="00532E1B"/>
    <w:rsid w:val="005A0759"/>
    <w:rsid w:val="005D4CA2"/>
    <w:rsid w:val="005D67B1"/>
    <w:rsid w:val="00782DAF"/>
    <w:rsid w:val="007B269C"/>
    <w:rsid w:val="00893BF7"/>
    <w:rsid w:val="008A0284"/>
    <w:rsid w:val="008D21FF"/>
    <w:rsid w:val="009972E0"/>
    <w:rsid w:val="00A845A9"/>
    <w:rsid w:val="00B27C06"/>
    <w:rsid w:val="00BA7977"/>
    <w:rsid w:val="00D37AC0"/>
    <w:rsid w:val="00E70CBD"/>
    <w:rsid w:val="00F72808"/>
    <w:rsid w:val="011F6693"/>
    <w:rsid w:val="01B552FB"/>
    <w:rsid w:val="03631D1E"/>
    <w:rsid w:val="081B3D0A"/>
    <w:rsid w:val="0EB92F9B"/>
    <w:rsid w:val="0F410666"/>
    <w:rsid w:val="0F884ED2"/>
    <w:rsid w:val="161F1E6E"/>
    <w:rsid w:val="17456EA1"/>
    <w:rsid w:val="18EE2F6B"/>
    <w:rsid w:val="1C6E259A"/>
    <w:rsid w:val="1E2E7514"/>
    <w:rsid w:val="1F200328"/>
    <w:rsid w:val="21CD137B"/>
    <w:rsid w:val="249F7207"/>
    <w:rsid w:val="25840E8E"/>
    <w:rsid w:val="26BD2FDA"/>
    <w:rsid w:val="2A766639"/>
    <w:rsid w:val="2F875DDB"/>
    <w:rsid w:val="3439385C"/>
    <w:rsid w:val="34980004"/>
    <w:rsid w:val="37F00A16"/>
    <w:rsid w:val="3D887524"/>
    <w:rsid w:val="3DF3052E"/>
    <w:rsid w:val="41B03F53"/>
    <w:rsid w:val="42EF5C40"/>
    <w:rsid w:val="4851547D"/>
    <w:rsid w:val="4B3043BA"/>
    <w:rsid w:val="4C0554CB"/>
    <w:rsid w:val="51CE07A1"/>
    <w:rsid w:val="52D65176"/>
    <w:rsid w:val="546A584C"/>
    <w:rsid w:val="56DD0B1F"/>
    <w:rsid w:val="56F1487F"/>
    <w:rsid w:val="5D2C264A"/>
    <w:rsid w:val="5EC450EE"/>
    <w:rsid w:val="5F51318D"/>
    <w:rsid w:val="62B34FEF"/>
    <w:rsid w:val="6D550ECC"/>
    <w:rsid w:val="787C3AB9"/>
    <w:rsid w:val="78BA57AE"/>
    <w:rsid w:val="790C785F"/>
    <w:rsid w:val="799B69A6"/>
    <w:rsid w:val="7AB65962"/>
    <w:rsid w:val="7BE86FD9"/>
    <w:rsid w:val="FE5FA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line="600" w:lineRule="exact"/>
      <w:jc w:val="center"/>
    </w:pPr>
    <w:rPr>
      <w:rFonts w:ascii="楷体_GB2312" w:eastAsia="楷体_GB2312"/>
      <w:bCs/>
      <w:sz w:val="44"/>
      <w:szCs w:val="24"/>
    </w:rPr>
  </w:style>
  <w:style w:type="paragraph" w:styleId="4">
    <w:name w:val="index 7"/>
    <w:basedOn w:val="1"/>
    <w:next w:val="1"/>
    <w:qFormat/>
    <w:uiPriority w:val="0"/>
    <w:pPr>
      <w:ind w:left="1200" w:leftChars="1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眉 Char"/>
    <w:basedOn w:val="9"/>
    <w:link w:val="6"/>
    <w:qFormat/>
    <w:uiPriority w:val="0"/>
    <w:rPr>
      <w:rFonts w:ascii="Times New Roman" w:hAnsi="Times New Roman" w:eastAsia="方正仿宋_GBK" w:cs="Times New Roman"/>
      <w:kern w:val="2"/>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194</Words>
  <Characters>221</Characters>
  <Lines>31</Lines>
  <Paragraphs>8</Paragraphs>
  <TotalTime>11</TotalTime>
  <ScaleCrop>false</ScaleCrop>
  <LinksUpToDate>false</LinksUpToDate>
  <CharactersWithSpaces>243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2024-04-26T08:57:00Z</dcterms:created>
  <dc:creator>李永寿</dc:creator>
  <cp:lastModifiedBy>user</cp:lastModifiedBy>
  <cp:lastPrinted>2026-01-27T17:55:00Z</cp:lastPrinted>
  <dcterms:modified xsi:type="dcterms:W3CDTF">2026-02-05T17:53:03Z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72B1934545FC4AB9BC71B6143A19E03A_13</vt:lpwstr>
  </property>
  <property fmtid="{D5CDD505-2E9C-101B-9397-08002B2CF9AE}" pid="4" name="KSOTemplateDocerSaveRecord">
    <vt:lpwstr>eyJoZGlkIjoiNTRkOTY5MjIyYTM1NGQ4NDc4NGU2MTMzNmZmMjc1NDQiLCJ1c2VySWQiOiI2NDQ3OTUzOTEifQ==</vt:lpwstr>
  </property>
</Properties>
</file>