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南川区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创新平台名单</w:t>
      </w:r>
    </w:p>
    <w:tbl>
      <w:tblPr>
        <w:tblStyle w:val="17"/>
        <w:tblpPr w:leftFromText="180" w:rightFromText="180" w:vertAnchor="text" w:horzAnchor="page" w:tblpX="1054" w:tblpY="570"/>
        <w:tblOverlap w:val="never"/>
        <w:tblW w:w="10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4500"/>
        <w:gridCol w:w="3670"/>
        <w:gridCol w:w="1129"/>
        <w:gridCol w:w="25"/>
        <w:gridCol w:w="92"/>
        <w:gridCol w:w="417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3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8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一、科技企业孵化器和众创空间</w:t>
            </w:r>
          </w:p>
        </w:tc>
        <w:tc>
          <w:tcPr>
            <w:tcW w:w="1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661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  <w:t>重庆市南川区科技创业服务中心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  <w:t>重庆小青蛙企业服务集团有限公司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盛亚祥企业孵化中心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（孵化器）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重庆市盛亚祥企业孵化器有限公司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小青蛙众创空间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重庆绿安信息科技有限公司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1+1&gt;2众创空间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重庆鹏度孵化器有限责任公司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661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创生生物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31"/>
                <w:rFonts w:hint="default" w:ascii="Times New Roman" w:hAnsi="Times New Roman" w:eastAsia="方正仿宋_GBK" w:cs="Times New Roman"/>
                <w:lang w:val="en-US" w:eastAsia="zh-CN" w:bidi="ar"/>
              </w:rPr>
              <w:t>DNA+</w:t>
            </w:r>
            <w:r>
              <w:rPr>
                <w:rStyle w:val="32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32"/>
                <w:rFonts w:hint="default" w:ascii="Times New Roman" w:hAnsi="Times New Roman" w:cs="Times New Roman"/>
                <w:lang w:val="en-US" w:eastAsia="zh-CN" w:bidi="ar"/>
              </w:rPr>
              <w:t>众创空间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康泽众创空间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重庆市康泽科技开发有限公司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盛亚祥企业孵化中心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（众创空间）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重庆市盛亚祥企业孵化器有限公司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8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二、企业研究开发中心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重庆市超群工业股份有限公司研究开发中心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重庆市超群工业股份有限公司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睿宇时空科技（重庆）有限公司研究开发中心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睿宇时空科技（重庆）有限公司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重庆嘉蓝悦霖农业科技发展有限公司研究开发中心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重庆嘉蓝悦霖农业科技发展有限公司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64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重庆市南川区先锋氧化铝有限公司研究开发中心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重庆市南川区先锋氧化铝有限公司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重庆博帝节能设备有限公司研究开发中心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重庆博帝节能设备有限公司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56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重庆康世德源科技实业有限公司研究开发中心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重庆康世德源科技实业有限公司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15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重庆市方略精控金属制品有限公司研究开发中心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重庆市方略精控金属制品有限公司</w:t>
            </w:r>
          </w:p>
        </w:tc>
        <w:tc>
          <w:tcPr>
            <w:tcW w:w="11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重庆亲禾生态环境科技有限公司研究开发中心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重庆亲禾生态环境科技有限公司</w:t>
            </w:r>
          </w:p>
        </w:tc>
        <w:tc>
          <w:tcPr>
            <w:tcW w:w="16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重庆赛纳科技有限公司研究开发中心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重庆赛纳科技有限公司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重庆市南川区陈吉旺福食品有限公司研究开发中心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重庆市南川区陈吉旺福食品有限公司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重庆泽齐传动机械有限公司研究开发中心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重庆泽齐传动机械有限公司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重庆科朗机动车制动器有限公司研究开发中心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重庆科朗机动车制动器有限公司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重庆市上泽机电有限公司研究开发中心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重庆市上泽机电有限公司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重庆筑巢建筑材料有限公司研究开发中心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重庆筑巢建筑材料有限公司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重庆市南川区晨曦化工有限公司研究开发中心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重庆优钛实业有限公司研究开发中心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重庆优钛实业有限公司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重庆鸿庆达产业有限公司研究开发中心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重庆市新嘉南建材有限责任公司研究开发中心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重庆九海铝业有限公司研究开发中心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重庆九海铝业有限公司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重庆优叡科技有限公司研究开发中心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重庆优叡科技有限公司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重庆嘉格纳科技有限公司研究开发中心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重庆嘉格纳科技有限公司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重庆绿安信息科技有限公司研究开发中心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重庆绿安信息科技有限公司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重庆市搏双建材有限公司研究开发中心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重庆市搏双建材有限公司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中石化重庆页岩气有限公司研究开发中心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重庆亿森动力环境科技有限公司研究开发中心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重庆亿森动力环境科技有限公司</w:t>
            </w:r>
          </w:p>
        </w:tc>
        <w:tc>
          <w:tcPr>
            <w:tcW w:w="166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重庆恒亚铝业有限公司研究开发中心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重庆恒亚铝业有限公司</w:t>
            </w:r>
          </w:p>
        </w:tc>
        <w:tc>
          <w:tcPr>
            <w:tcW w:w="1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重庆同昶科技有限责任公司研究开发中心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重庆同昶科技有限责任公司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重庆隆富远大建筑科技有限公司研究开发中心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重庆隆富远大建筑科技有限公司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重庆捷尔博模具科技有限公司研究开发中心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重庆捷尔博模具科技有限公司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重庆威鹏药业有限公司研究开发中心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重庆威鹏药业有限公司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重庆西友新型墙体材料有限公司研究开发中心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重庆西友新型墙体材料有限公司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重庆市南川区李氏实业有限责任公司研究开发中心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重庆市南川区李氏实业有限责任公司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重庆灏天生态农业科技有限公司研究开发中心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重庆灏天生态农业科技有限公司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重庆庆酒酿酒庄园有限公司研究开发中心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重庆庆酒酿酒庄园有限公司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重庆市味轩州食品有限公司研究开发中心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重庆市味轩州食品有限公司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京弛创新（重庆）科技有限公司研究开发中心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京弛创新（重庆）科技有限公司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重庆中佳信健康管理有限公司研究开发中心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重庆中佳信健康管理有限公司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重庆中佳信生物科技有限公司研究开发中心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重庆中佳信生物科技有限公司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重庆百味珍药业有限公司研究开发中心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重庆百味珍药业有限公司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重庆金瑞图环保科技有限公司研究开发中心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重庆金瑞图环保科技有限公司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重庆三不加食品有限公司研究开发中心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重庆三不加食品有限公司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普利英（重庆）创新科技有限公司研究开发中心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普利英（重庆）创新科技有限公司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23" w:type="dxa"/>
          <w:trHeight w:val="71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重庆银丰生物工程有限公司研究开发中心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重庆银丰生物工程有限公司</w:t>
            </w:r>
          </w:p>
        </w:tc>
        <w:tc>
          <w:tcPr>
            <w:tcW w:w="124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重庆信达可恩集团有限公司研究开发中心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重庆信达可恩集团有限公司</w:t>
            </w:r>
          </w:p>
        </w:tc>
        <w:tc>
          <w:tcPr>
            <w:tcW w:w="16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重庆鸣金橡胶制品有限公司研究开发中心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重庆鸣金橡胶制品有限公司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重庆市南川华绿生物科技有限公司研究开发中心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重庆市南川华绿生物科技有限公司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重庆坤川辰星线缆有限公司研究开发中心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重庆坤川辰星线缆有限公司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重庆海宇环保新材料有限公司研究开发中心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重庆海宇环保新材料有限公司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重庆市柠柒农业发展有限公司研究开发中心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重庆市柠柒农业发展有限公司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重庆映秀科技有限公司研究开发中心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重庆映秀科技有限公司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重庆西苑食品有限责任公司研究开发中心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重庆西苑食品有限责任公司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三、星创天地</w:t>
            </w:r>
          </w:p>
        </w:tc>
        <w:tc>
          <w:tcPr>
            <w:tcW w:w="16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创新服务科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南川绿航母星创天地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重庆绿航母现代农业开发有限公司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四、专家大院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重庆市生猪科技专家大院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重庆青一银升生态农业有限公司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7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重庆市茶叶科技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专家大院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重庆乾丰茶叶有限公司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重庆市优质粮油科技专家大院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重庆市南川区农业农村委员会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8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五、其它创新平台</w:t>
            </w:r>
          </w:p>
        </w:tc>
        <w:tc>
          <w:tcPr>
            <w:tcW w:w="16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规划发展科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重庆金佛山喀斯特生态系统野外科学观测研究站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重庆金佛山管委会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重庆特色生物产业技术创新研究院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特色生物资源研究与利用川渝共建重点实验室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166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特色中药资源发掘与评价重庆市重点实验室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重庆市药物种植研究所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规划发展科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重庆巴渝酿酒研究所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庆酒酒业有限公司</w:t>
            </w:r>
          </w:p>
        </w:tc>
        <w:tc>
          <w:tcPr>
            <w:tcW w:w="1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道地药材规范化生产工程技术研究中心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1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金佛山森林生态系统野外观测研究站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1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40" w:type="dxa"/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重庆市南川区特珍方竹产业技术研究院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重庆特珍食品有限公司</w:t>
            </w:r>
          </w:p>
        </w:tc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spacing w:before="0" w:beforeLines="0" w:beforeAutospacing="0" w:after="0" w:afterLines="0" w:afterAutospacing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" w:eastAsia="zh-CN"/>
        </w:rPr>
      </w:pPr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6D31C29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94B2F9A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4FB959F3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6943C2"/>
    <w:rsid w:val="63991230"/>
    <w:rsid w:val="640C143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Body Text Indent"/>
    <w:basedOn w:val="1"/>
    <w:next w:val="6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9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2025-06-10T03:06:49Z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