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spacing w:line="520" w:lineRule="exact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南川区渝南大道延伸路（二期）建设工程</w:t>
      </w:r>
    </w:p>
    <w:p>
      <w:pPr>
        <w:spacing w:line="460" w:lineRule="exact"/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水土保持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eastAsia="zh-CN"/>
        </w:rPr>
        <w:t>变更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方案特性表</w:t>
      </w:r>
    </w:p>
    <w:bookmarkEnd w:id="0"/>
    <w:tbl>
      <w:tblPr>
        <w:tblStyle w:val="2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543"/>
        <w:gridCol w:w="447"/>
        <w:gridCol w:w="689"/>
        <w:gridCol w:w="472"/>
        <w:gridCol w:w="1135"/>
        <w:gridCol w:w="416"/>
        <w:gridCol w:w="926"/>
        <w:gridCol w:w="633"/>
        <w:gridCol w:w="714"/>
        <w:gridCol w:w="718"/>
        <w:gridCol w:w="12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38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854" w:type="pct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南川区渝南大道延伸路（二期）建设工程</w:t>
            </w:r>
          </w:p>
        </w:tc>
        <w:tc>
          <w:tcPr>
            <w:tcW w:w="1333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流域管理机构</w:t>
            </w:r>
          </w:p>
        </w:tc>
        <w:tc>
          <w:tcPr>
            <w:tcW w:w="1173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长江水利委员会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38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涉及省市</w:t>
            </w:r>
          </w:p>
        </w:tc>
        <w:tc>
          <w:tcPr>
            <w:tcW w:w="943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重庆市</w:t>
            </w:r>
          </w:p>
        </w:tc>
        <w:tc>
          <w:tcPr>
            <w:tcW w:w="910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涉及地市或个数</w:t>
            </w:r>
          </w:p>
        </w:tc>
        <w:tc>
          <w:tcPr>
            <w:tcW w:w="54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79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涉及区县</w:t>
            </w:r>
          </w:p>
        </w:tc>
        <w:tc>
          <w:tcPr>
            <w:tcW w:w="1173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南川区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38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项目规模</w:t>
            </w:r>
          </w:p>
        </w:tc>
        <w:tc>
          <w:tcPr>
            <w:tcW w:w="943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全长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1599.124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910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总投资（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万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元）</w:t>
            </w:r>
          </w:p>
        </w:tc>
        <w:tc>
          <w:tcPr>
            <w:tcW w:w="54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21461.93</w:t>
            </w:r>
          </w:p>
        </w:tc>
        <w:tc>
          <w:tcPr>
            <w:tcW w:w="1212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土建投资（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万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元）</w:t>
            </w:r>
          </w:p>
        </w:tc>
        <w:tc>
          <w:tcPr>
            <w:tcW w:w="7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lang w:bidi="zh-CN"/>
              </w:rPr>
              <w:t>9966.03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38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动工时间</w:t>
            </w:r>
          </w:p>
        </w:tc>
        <w:tc>
          <w:tcPr>
            <w:tcW w:w="666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20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21年5月</w:t>
            </w:r>
          </w:p>
        </w:tc>
        <w:tc>
          <w:tcPr>
            <w:tcW w:w="943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完工时间</w:t>
            </w:r>
          </w:p>
        </w:tc>
        <w:tc>
          <w:tcPr>
            <w:tcW w:w="787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202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年1月</w:t>
            </w:r>
          </w:p>
        </w:tc>
        <w:tc>
          <w:tcPr>
            <w:tcW w:w="790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设计水平年</w:t>
            </w:r>
          </w:p>
        </w:tc>
        <w:tc>
          <w:tcPr>
            <w:tcW w:w="1173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202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38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工程占地（hm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666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9.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43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永久占地（hm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87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.58</w:t>
            </w:r>
          </w:p>
        </w:tc>
        <w:tc>
          <w:tcPr>
            <w:tcW w:w="790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临时占地（hm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1173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2.62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5" w:type="pct"/>
            <w:gridSpan w:val="4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土石方量（万m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943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 xml:space="preserve">挖方 </w:t>
            </w:r>
          </w:p>
        </w:tc>
        <w:tc>
          <w:tcPr>
            <w:tcW w:w="787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填方</w:t>
            </w:r>
          </w:p>
        </w:tc>
        <w:tc>
          <w:tcPr>
            <w:tcW w:w="79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借方</w:t>
            </w:r>
          </w:p>
        </w:tc>
        <w:tc>
          <w:tcPr>
            <w:tcW w:w="1173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余（弃）方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5" w:type="pct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43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24.2</w:t>
            </w:r>
          </w:p>
        </w:tc>
        <w:tc>
          <w:tcPr>
            <w:tcW w:w="787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18.4</w:t>
            </w:r>
          </w:p>
        </w:tc>
        <w:tc>
          <w:tcPr>
            <w:tcW w:w="79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173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5" w:type="pct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国家或省级重点防治区名称</w:t>
            </w:r>
          </w:p>
        </w:tc>
        <w:tc>
          <w:tcPr>
            <w:tcW w:w="3694" w:type="pct"/>
            <w:gridSpan w:val="8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乌江赤水河上中游国家级水土流失重点治理区、重庆市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水土流失重点治理区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5" w:type="pct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地貌类型</w:t>
            </w:r>
          </w:p>
        </w:tc>
        <w:tc>
          <w:tcPr>
            <w:tcW w:w="1187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构造剥蚀低山地貌</w:t>
            </w:r>
          </w:p>
        </w:tc>
        <w:tc>
          <w:tcPr>
            <w:tcW w:w="1333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水土保持区划</w:t>
            </w:r>
          </w:p>
        </w:tc>
        <w:tc>
          <w:tcPr>
            <w:tcW w:w="1173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西南紫色土区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5" w:type="pct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土壤侵蚀类型</w:t>
            </w:r>
          </w:p>
        </w:tc>
        <w:tc>
          <w:tcPr>
            <w:tcW w:w="1187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水力侵蚀</w:t>
            </w:r>
          </w:p>
        </w:tc>
        <w:tc>
          <w:tcPr>
            <w:tcW w:w="1333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土壤侵蚀强度</w:t>
            </w:r>
          </w:p>
        </w:tc>
        <w:tc>
          <w:tcPr>
            <w:tcW w:w="1173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轻度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5" w:type="pct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防治责任范围面积(hm²)</w:t>
            </w:r>
          </w:p>
        </w:tc>
        <w:tc>
          <w:tcPr>
            <w:tcW w:w="1187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9.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33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容许土壤流失量t/(km²·a)</w:t>
            </w:r>
          </w:p>
        </w:tc>
        <w:tc>
          <w:tcPr>
            <w:tcW w:w="1173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5" w:type="pct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土壤流失流失预测总量(t)</w:t>
            </w:r>
          </w:p>
        </w:tc>
        <w:tc>
          <w:tcPr>
            <w:tcW w:w="1187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528.06</w:t>
            </w:r>
          </w:p>
        </w:tc>
        <w:tc>
          <w:tcPr>
            <w:tcW w:w="1333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新增水土流失量(t)</w:t>
            </w:r>
          </w:p>
        </w:tc>
        <w:tc>
          <w:tcPr>
            <w:tcW w:w="1173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350.35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5" w:type="pct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水土流失防治标准执行等级</w:t>
            </w:r>
          </w:p>
        </w:tc>
        <w:tc>
          <w:tcPr>
            <w:tcW w:w="3694" w:type="pct"/>
            <w:gridSpan w:val="8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西南紫色土区建设类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一级标准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20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防治</w:t>
            </w:r>
          </w:p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目标</w:t>
            </w:r>
          </w:p>
        </w:tc>
        <w:tc>
          <w:tcPr>
            <w:tcW w:w="98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水土流失治理度(%)</w:t>
            </w:r>
          </w:p>
        </w:tc>
        <w:tc>
          <w:tcPr>
            <w:tcW w:w="1187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97</w:t>
            </w:r>
          </w:p>
        </w:tc>
        <w:tc>
          <w:tcPr>
            <w:tcW w:w="1333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土壤流失控制比</w:t>
            </w:r>
          </w:p>
        </w:tc>
        <w:tc>
          <w:tcPr>
            <w:tcW w:w="1173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2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渣土防护率(%)</w:t>
            </w:r>
          </w:p>
        </w:tc>
        <w:tc>
          <w:tcPr>
            <w:tcW w:w="1187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/>
              </w:rPr>
              <w:t>94</w:t>
            </w:r>
          </w:p>
        </w:tc>
        <w:tc>
          <w:tcPr>
            <w:tcW w:w="1333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表土保护率(%)</w:t>
            </w:r>
          </w:p>
        </w:tc>
        <w:tc>
          <w:tcPr>
            <w:tcW w:w="1173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2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8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林草植被恢复率(%)</w:t>
            </w:r>
          </w:p>
        </w:tc>
        <w:tc>
          <w:tcPr>
            <w:tcW w:w="1187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97</w:t>
            </w:r>
          </w:p>
        </w:tc>
        <w:tc>
          <w:tcPr>
            <w:tcW w:w="1333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林草覆盖率(%)</w:t>
            </w:r>
          </w:p>
        </w:tc>
        <w:tc>
          <w:tcPr>
            <w:tcW w:w="1173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20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防治</w:t>
            </w:r>
          </w:p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措施</w:t>
            </w:r>
          </w:p>
          <w:p>
            <w:pPr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防治分区</w:t>
            </w:r>
          </w:p>
        </w:tc>
        <w:tc>
          <w:tcPr>
            <w:tcW w:w="1591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工程措施</w:t>
            </w:r>
          </w:p>
        </w:tc>
        <w:tc>
          <w:tcPr>
            <w:tcW w:w="1333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植物措施</w:t>
            </w:r>
          </w:p>
        </w:tc>
        <w:tc>
          <w:tcPr>
            <w:tcW w:w="1173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临时措施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2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道路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工程防治区</w:t>
            </w:r>
          </w:p>
        </w:tc>
        <w:tc>
          <w:tcPr>
            <w:tcW w:w="1591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eastAsia="仿宋_GB2312"/>
                <w:b w:val="0"/>
                <w:bCs w:val="0"/>
                <w:color w:val="auto"/>
                <w:sz w:val="18"/>
                <w:szCs w:val="18"/>
                <w:vertAlign w:val="superscrip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</w:rPr>
              <w:t>主体设计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18"/>
                <w:szCs w:val="18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</w:rPr>
              <w:t>雨水排水管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3398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</w:rPr>
              <w:t>m、堑顶截水沟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956.3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</w:rPr>
              <w:t>m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</w:rPr>
              <w:t>沉沙池4座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表土剥离：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0.16万</w:t>
            </w:r>
            <w:r>
              <w:rPr>
                <w:rFonts w:eastAsia="仿宋_GB2312"/>
                <w:b w:val="0"/>
                <w:bCs w:val="0"/>
                <w:color w:val="auto"/>
                <w:sz w:val="18"/>
                <w:szCs w:val="18"/>
              </w:rPr>
              <w:t>m</w:t>
            </w:r>
            <w:r>
              <w:rPr>
                <w:rFonts w:hint="eastAsia" w:eastAsia="仿宋_GB2312"/>
                <w:b w:val="0"/>
                <w:bCs w:val="0"/>
                <w:color w:val="auto"/>
                <w:sz w:val="18"/>
                <w:szCs w:val="18"/>
                <w:vertAlign w:val="superscript"/>
                <w:lang w:val="en-US" w:eastAsia="zh-CN"/>
              </w:rPr>
              <w:t>3</w:t>
            </w:r>
            <w:r>
              <w:rPr>
                <w:rFonts w:hint="eastAsia" w:eastAsia="仿宋_GB2312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表土回填：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0.16万</w:t>
            </w:r>
            <w:r>
              <w:rPr>
                <w:rFonts w:eastAsia="仿宋_GB2312"/>
                <w:b w:val="0"/>
                <w:bCs w:val="0"/>
                <w:color w:val="auto"/>
                <w:sz w:val="18"/>
                <w:szCs w:val="18"/>
              </w:rPr>
              <w:t>m</w:t>
            </w:r>
            <w:r>
              <w:rPr>
                <w:rFonts w:hint="eastAsia" w:eastAsia="仿宋_GB2312"/>
                <w:b w:val="0"/>
                <w:bCs w:val="0"/>
                <w:color w:val="auto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18"/>
                <w:szCs w:val="18"/>
                <w:lang w:val="en-US" w:eastAsia="zh-CN"/>
              </w:rPr>
              <w:t>变更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  <w:lang w:eastAsia="zh-CN"/>
              </w:rPr>
              <w:t>方案新增：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333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eastAsia="仿宋_GB2312"/>
                <w:b/>
                <w:color w:val="auto"/>
                <w:kern w:val="0"/>
                <w:sz w:val="18"/>
                <w:szCs w:val="18"/>
              </w:rPr>
              <w:t>主体设计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  <w:t>：</w:t>
            </w:r>
            <w:r>
              <w:rPr>
                <w:rFonts w:eastAsia="仿宋_GB2312"/>
                <w:color w:val="auto"/>
                <w:sz w:val="18"/>
                <w:szCs w:val="18"/>
              </w:rPr>
              <w:t>喷播植草护坡0.</w:t>
            </w:r>
            <w:r>
              <w:rPr>
                <w:rFonts w:hint="eastAsia" w:eastAsia="仿宋_GB2312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eastAsia="仿宋_GB2312"/>
                <w:color w:val="auto"/>
                <w:sz w:val="18"/>
                <w:szCs w:val="18"/>
              </w:rPr>
              <w:t>9hm</w:t>
            </w:r>
            <w:r>
              <w:rPr>
                <w:rFonts w:eastAsia="仿宋_GB2312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eastAsia="仿宋_GB2312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eastAsia="仿宋_GB2312"/>
                <w:color w:val="auto"/>
                <w:sz w:val="18"/>
                <w:szCs w:val="18"/>
              </w:rPr>
              <w:t>侧分带绿化0.41hm</w:t>
            </w:r>
            <w:r>
              <w:rPr>
                <w:rFonts w:eastAsia="仿宋_GB2312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eastAsia="仿宋_GB2312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eastAsia="仿宋_GB2312"/>
                <w:color w:val="auto"/>
                <w:sz w:val="18"/>
                <w:szCs w:val="18"/>
              </w:rPr>
              <w:t>行道树</w:t>
            </w:r>
            <w:r>
              <w:rPr>
                <w:rFonts w:hint="eastAsia" w:eastAsia="仿宋_GB2312"/>
                <w:color w:val="auto"/>
                <w:sz w:val="18"/>
                <w:szCs w:val="18"/>
                <w:lang w:val="en-US" w:eastAsia="zh-CN"/>
              </w:rPr>
              <w:t>364</w:t>
            </w:r>
            <w:r>
              <w:rPr>
                <w:rFonts w:eastAsia="仿宋_GB2312"/>
                <w:color w:val="auto"/>
                <w:sz w:val="18"/>
                <w:szCs w:val="18"/>
              </w:rPr>
              <w:t>株</w:t>
            </w:r>
            <w:r>
              <w:rPr>
                <w:rFonts w:hint="eastAsia" w:eastAsia="仿宋_GB2312"/>
                <w:color w:val="auto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18"/>
                <w:szCs w:val="18"/>
                <w:lang w:val="en-US" w:eastAsia="zh-CN"/>
              </w:rPr>
              <w:t>变更</w:t>
            </w:r>
            <w:r>
              <w:rPr>
                <w:rFonts w:eastAsia="仿宋_GB2312"/>
                <w:b/>
                <w:color w:val="auto"/>
                <w:kern w:val="0"/>
                <w:sz w:val="18"/>
                <w:szCs w:val="18"/>
              </w:rPr>
              <w:t>方案新增：</w:t>
            </w:r>
            <w:r>
              <w:rPr>
                <w:rFonts w:eastAsia="仿宋_GB2312"/>
                <w:color w:val="auto"/>
                <w:sz w:val="18"/>
                <w:szCs w:val="18"/>
              </w:rPr>
              <w:t>喷播植草护坡0.</w:t>
            </w:r>
            <w:r>
              <w:rPr>
                <w:rFonts w:hint="eastAsia" w:eastAsia="仿宋_GB2312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eastAsia="仿宋_GB2312"/>
                <w:color w:val="auto"/>
                <w:sz w:val="18"/>
                <w:szCs w:val="18"/>
              </w:rPr>
              <w:t>9hm</w:t>
            </w:r>
            <w:r>
              <w:rPr>
                <w:rFonts w:eastAsia="仿宋_GB2312"/>
                <w:color w:val="auto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3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eastAsia="仿宋_GB2312"/>
                <w:b/>
                <w:color w:val="auto"/>
                <w:kern w:val="0"/>
                <w:sz w:val="18"/>
                <w:szCs w:val="18"/>
              </w:rPr>
              <w:t>主体设计：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临时排水管</w:t>
            </w:r>
            <w:r>
              <w:rPr>
                <w:rFonts w:hint="eastAsia" w:eastAsia="仿宋_GB2312"/>
                <w:color w:val="auto"/>
                <w:sz w:val="18"/>
                <w:szCs w:val="18"/>
                <w:lang w:val="en-US" w:eastAsia="zh-CN"/>
              </w:rPr>
              <w:t>139.4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 xml:space="preserve"> m</w:t>
            </w:r>
            <w:r>
              <w:rPr>
                <w:rFonts w:hint="eastAsia" w:eastAsia="仿宋_GB2312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洗车冲洗站2座</w:t>
            </w:r>
            <w:r>
              <w:rPr>
                <w:rFonts w:hint="eastAsia" w:eastAsia="仿宋_GB2312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防雨布临时覆盖</w:t>
            </w:r>
            <w:r>
              <w:rPr>
                <w:rFonts w:hint="eastAsia" w:eastAsia="仿宋_GB2312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500m</w:t>
            </w:r>
            <w:r>
              <w:rPr>
                <w:rFonts w:hint="eastAsia" w:eastAsia="仿宋_GB2312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eastAsia="仿宋_GB2312"/>
                <w:color w:val="auto"/>
                <w:sz w:val="18"/>
                <w:szCs w:val="18"/>
                <w:vertAlign w:val="baseline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eastAsia="仿宋_GB2312"/>
                <w:color w:val="auto"/>
                <w:sz w:val="18"/>
                <w:szCs w:val="18"/>
                <w:vertAlign w:val="superscript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18"/>
                <w:szCs w:val="18"/>
                <w:lang w:val="en-US" w:eastAsia="zh-CN"/>
              </w:rPr>
              <w:t>变更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  <w:lang w:eastAsia="zh-CN"/>
              </w:rPr>
              <w:t>方案新增：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2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80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施工营地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防治区　</w:t>
            </w:r>
          </w:p>
        </w:tc>
        <w:tc>
          <w:tcPr>
            <w:tcW w:w="1591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eastAsia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auto"/>
                <w:kern w:val="0"/>
                <w:sz w:val="18"/>
                <w:szCs w:val="18"/>
              </w:rPr>
              <w:t>主体设计：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jc w:val="both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18"/>
                <w:szCs w:val="18"/>
                <w:lang w:val="en-US" w:eastAsia="zh-CN"/>
              </w:rPr>
              <w:t>变更</w:t>
            </w:r>
            <w:r>
              <w:rPr>
                <w:rFonts w:eastAsia="仿宋_GB2312"/>
                <w:b/>
                <w:color w:val="auto"/>
                <w:kern w:val="0"/>
                <w:sz w:val="18"/>
                <w:szCs w:val="18"/>
              </w:rPr>
              <w:t>方案新增：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1333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both"/>
              <w:rPr>
                <w:rFonts w:eastAsia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auto"/>
                <w:kern w:val="0"/>
                <w:sz w:val="18"/>
                <w:szCs w:val="18"/>
              </w:rPr>
              <w:t>主体设计：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无</w:t>
            </w:r>
          </w:p>
          <w:p>
            <w:pPr>
              <w:widowControl/>
              <w:jc w:val="both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18"/>
                <w:szCs w:val="18"/>
                <w:lang w:val="en-US" w:eastAsia="zh-CN"/>
              </w:rPr>
              <w:t>变更</w:t>
            </w:r>
            <w:r>
              <w:rPr>
                <w:rFonts w:eastAsia="仿宋_GB2312"/>
                <w:b/>
                <w:color w:val="auto"/>
                <w:kern w:val="0"/>
                <w:sz w:val="18"/>
                <w:szCs w:val="18"/>
              </w:rPr>
              <w:t>方案新增：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1173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仿宋_GB2312"/>
                <w:b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b/>
                <w:color w:val="auto"/>
                <w:kern w:val="0"/>
                <w:sz w:val="18"/>
                <w:szCs w:val="18"/>
              </w:rPr>
              <w:t>主体设计：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防雨布覆盖500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m</w:t>
            </w:r>
            <w:r>
              <w:rPr>
                <w:rFonts w:hint="eastAsia" w:eastAsia="仿宋_GB2312"/>
                <w:color w:val="auto"/>
                <w:sz w:val="18"/>
                <w:szCs w:val="18"/>
                <w:vertAlign w:val="superscript"/>
              </w:rPr>
              <w:t>2</w:t>
            </w:r>
          </w:p>
          <w:p>
            <w:pPr>
              <w:widowControl/>
              <w:jc w:val="left"/>
              <w:rPr>
                <w:rFonts w:hint="eastAsia" w:eastAsia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18"/>
                <w:szCs w:val="18"/>
                <w:lang w:val="en-US" w:eastAsia="zh-CN"/>
              </w:rPr>
              <w:t>变更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  <w:lang w:eastAsia="zh-CN"/>
              </w:rPr>
              <w:t>方案新增：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01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投资(万元)</w:t>
            </w:r>
          </w:p>
        </w:tc>
        <w:tc>
          <w:tcPr>
            <w:tcW w:w="1591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主体设计：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379.17</w:t>
            </w:r>
          </w:p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变更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方案新增：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33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主体设计：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90.28</w:t>
            </w:r>
          </w:p>
          <w:p>
            <w:pPr>
              <w:jc w:val="center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变更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方案新增：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3.8</w:t>
            </w:r>
          </w:p>
        </w:tc>
        <w:tc>
          <w:tcPr>
            <w:tcW w:w="1173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主体设计：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13.18</w:t>
            </w:r>
          </w:p>
          <w:p>
            <w:pPr>
              <w:jc w:val="center"/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变更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方案新增：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5" w:type="pct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水土保持总投资(万元)</w:t>
            </w:r>
          </w:p>
        </w:tc>
        <w:tc>
          <w:tcPr>
            <w:tcW w:w="1731" w:type="pct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542.51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（新增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59.88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9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独立费用(万元)</w:t>
            </w:r>
          </w:p>
        </w:tc>
        <w:tc>
          <w:tcPr>
            <w:tcW w:w="1173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eastAsia="zh-CN"/>
              </w:rPr>
              <w:t>.93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01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监理费(万元)</w:t>
            </w:r>
          </w:p>
        </w:tc>
        <w:tc>
          <w:tcPr>
            <w:tcW w:w="40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20.93</w:t>
            </w:r>
          </w:p>
        </w:tc>
        <w:tc>
          <w:tcPr>
            <w:tcW w:w="1187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监测费(万元)</w:t>
            </w:r>
          </w:p>
        </w:tc>
        <w:tc>
          <w:tcPr>
            <w:tcW w:w="54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2.18</w:t>
            </w:r>
          </w:p>
        </w:tc>
        <w:tc>
          <w:tcPr>
            <w:tcW w:w="790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补偿费(万元)</w:t>
            </w:r>
          </w:p>
        </w:tc>
        <w:tc>
          <w:tcPr>
            <w:tcW w:w="1173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12.88168（已缴纳）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01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方案编制单位</w:t>
            </w:r>
          </w:p>
        </w:tc>
        <w:tc>
          <w:tcPr>
            <w:tcW w:w="1591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napToGrid w:val="0"/>
              <w:spacing w:line="220" w:lineRule="exact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eastAsia="仿宋_GB2312"/>
                <w:color w:val="auto"/>
                <w:sz w:val="18"/>
                <w:szCs w:val="18"/>
              </w:rPr>
              <w:t>重庆市道宽环保工程有限责任公司</w:t>
            </w:r>
          </w:p>
        </w:tc>
        <w:tc>
          <w:tcPr>
            <w:tcW w:w="915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1591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重庆市南川区城市建设投资（集团）有限公司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01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法定代表人及电话</w:t>
            </w:r>
          </w:p>
        </w:tc>
        <w:tc>
          <w:tcPr>
            <w:tcW w:w="1591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napToGrid w:val="0"/>
              <w:spacing w:line="220" w:lineRule="exact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eastAsia="仿宋_GB2312"/>
                <w:color w:val="auto"/>
                <w:sz w:val="18"/>
                <w:szCs w:val="18"/>
              </w:rPr>
              <w:t>方远琴</w:t>
            </w:r>
          </w:p>
        </w:tc>
        <w:tc>
          <w:tcPr>
            <w:tcW w:w="915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法定代表人及电话</w:t>
            </w:r>
          </w:p>
        </w:tc>
        <w:tc>
          <w:tcPr>
            <w:tcW w:w="1591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张琳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01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地址</w:t>
            </w:r>
          </w:p>
        </w:tc>
        <w:tc>
          <w:tcPr>
            <w:tcW w:w="1591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重庆市南川区西城街道渝南大道2号金佛尚城6幢1单元4-4</w:t>
            </w:r>
          </w:p>
        </w:tc>
        <w:tc>
          <w:tcPr>
            <w:tcW w:w="915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地址</w:t>
            </w:r>
          </w:p>
        </w:tc>
        <w:tc>
          <w:tcPr>
            <w:tcW w:w="1591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重庆市南川区西城街道渝南大道10号传媒中心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01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591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40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8400</w:t>
            </w:r>
          </w:p>
        </w:tc>
        <w:tc>
          <w:tcPr>
            <w:tcW w:w="915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邮政邮编</w:t>
            </w:r>
          </w:p>
        </w:tc>
        <w:tc>
          <w:tcPr>
            <w:tcW w:w="1591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40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8400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01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联系人及电话</w:t>
            </w:r>
          </w:p>
        </w:tc>
        <w:tc>
          <w:tcPr>
            <w:tcW w:w="1591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napToGrid w:val="0"/>
              <w:spacing w:line="220" w:lineRule="exact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eastAsia="仿宋_GB2312"/>
                <w:color w:val="auto"/>
                <w:sz w:val="18"/>
                <w:szCs w:val="18"/>
              </w:rPr>
              <w:t>周熊建18523651555</w:t>
            </w:r>
          </w:p>
        </w:tc>
        <w:tc>
          <w:tcPr>
            <w:tcW w:w="915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联系人及电话</w:t>
            </w:r>
          </w:p>
        </w:tc>
        <w:tc>
          <w:tcPr>
            <w:tcW w:w="1591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谈宇航13896505215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01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传真</w:t>
            </w:r>
          </w:p>
        </w:tc>
        <w:tc>
          <w:tcPr>
            <w:tcW w:w="1591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915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传真</w:t>
            </w:r>
          </w:p>
        </w:tc>
        <w:tc>
          <w:tcPr>
            <w:tcW w:w="1591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01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1591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915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159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D7"/>
    <w:rsid w:val="00BA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缩2"/>
    <w:qFormat/>
    <w:uiPriority w:val="0"/>
    <w:pPr>
      <w:spacing w:line="360" w:lineRule="auto"/>
      <w:ind w:firstLine="240" w:firstLineChars="100"/>
    </w:pPr>
    <w:rPr>
      <w:rFonts w:ascii="Times New Roman" w:hAnsi="Times New Roman" w:eastAsia="宋体" w:cs="Times New Roman"/>
      <w:color w:val="FF0000"/>
      <w:sz w:val="24"/>
      <w:szCs w:val="24"/>
      <w:lang w:val="en-US" w:eastAsia="zh-CN" w:bidi="ar-SA"/>
    </w:rPr>
  </w:style>
  <w:style w:type="paragraph" w:customStyle="1" w:styleId="5">
    <w:name w:val="表内文字（居中）-wd"/>
    <w:qFormat/>
    <w:uiPriority w:val="0"/>
    <w:pPr>
      <w:snapToGrid w:val="0"/>
    </w:pPr>
    <w:rPr>
      <w:rFonts w:ascii="宋体" w:hAnsi="宋体" w:eastAsia="宋体" w:cs="Times New Roman"/>
      <w:snapToGrid w:val="0"/>
      <w:sz w:val="21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2024-12-16T03:07:00Z</dcterms:created>
  <dc:creator>Administrator</dc:creator>
  <cp:lastModifiedBy>Administrator</cp:lastModifiedBy>
  <dcterms:modified xsi:type="dcterms:W3CDTF">2024-12-16T03:08:10Z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