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南川区百货公司片区安居工程（LH-G-6-1地块）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水土保持方案特性表</w:t>
      </w:r>
    </w:p>
    <w:bookmarkEnd w:id="0"/>
    <w:tbl>
      <w:tblPr>
        <w:tblStyle w:val="3"/>
        <w:tblpPr w:leftFromText="180" w:rightFromText="180" w:vertAnchor="text" w:horzAnchor="page" w:tblpX="1827" w:tblpY="15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047"/>
        <w:gridCol w:w="469"/>
        <w:gridCol w:w="728"/>
        <w:gridCol w:w="1419"/>
        <w:gridCol w:w="1315"/>
        <w:gridCol w:w="715"/>
        <w:gridCol w:w="981"/>
        <w:gridCol w:w="874"/>
        <w:gridCol w:w="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4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项目名称</w:t>
            </w:r>
          </w:p>
        </w:tc>
        <w:tc>
          <w:tcPr>
            <w:tcW w:w="3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auto"/>
                <w:lang w:val="en-US" w:eastAsia="zh-CN"/>
              </w:rPr>
              <w:t>南川区百货公司片区安居工程（LH-G-6-1地块）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流域管理机构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4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涉及省市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重庆市</w:t>
            </w:r>
          </w:p>
        </w:tc>
        <w:tc>
          <w:tcPr>
            <w:tcW w:w="2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涉及地市或个数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/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涉及区县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项目规模</w:t>
            </w:r>
          </w:p>
        </w:tc>
        <w:tc>
          <w:tcPr>
            <w:tcW w:w="3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bCs/>
                <w:color w:val="auto"/>
                <w:lang w:val="en-US" w:eastAsia="zh-CN"/>
              </w:rPr>
              <w:t>项目总用地面积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>1.48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hm</w:t>
            </w:r>
            <w:r>
              <w:rPr>
                <w:rFonts w:eastAsia="仿宋_GB2312"/>
                <w:bCs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，总建筑面积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 xml:space="preserve">110329.87 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m</w:t>
            </w:r>
            <w:r>
              <w:rPr>
                <w:rFonts w:eastAsia="仿宋_GB2312"/>
                <w:bCs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，其中地上建筑面积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 xml:space="preserve">81729.00 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m</w:t>
            </w:r>
            <w:r>
              <w:rPr>
                <w:rFonts w:eastAsia="仿宋_GB2312"/>
                <w:bCs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，地下建筑面积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>28600.87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m</w:t>
            </w:r>
            <w:r>
              <w:rPr>
                <w:rFonts w:eastAsia="仿宋_GB2312"/>
                <w:bCs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。绿化面积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>0.15hm</w:t>
            </w:r>
            <w:r>
              <w:rPr>
                <w:rFonts w:eastAsia="仿宋_GB2312"/>
                <w:bCs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，项目绿化率为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>10.10%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总投资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（万元）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81350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土建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投资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（万元）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48810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4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动工时间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2022年9月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完工时间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2026年7月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设计水平年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202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6</w:t>
            </w:r>
            <w:r>
              <w:rPr>
                <w:rFonts w:eastAsia="仿宋_GB2312"/>
                <w:color w:val="auto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4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工程占地（hm</w:t>
            </w:r>
            <w:r>
              <w:rPr>
                <w:rFonts w:eastAsia="仿宋_GB2312"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lang w:val="en-US" w:eastAsia="zh-CN"/>
              </w:rPr>
              <w:t>）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1.48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永久占地（hm</w:t>
            </w:r>
            <w:r>
              <w:rPr>
                <w:rFonts w:eastAsia="仿宋_GB2312"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lang w:val="en-US" w:eastAsia="zh-CN"/>
              </w:rPr>
              <w:t>）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1.48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临时占地（hm</w:t>
            </w:r>
            <w:r>
              <w:rPr>
                <w:rFonts w:eastAsia="仿宋_GB2312"/>
                <w:color w:val="auto"/>
                <w:vertAlign w:val="superscript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lang w:val="en-US" w:eastAsia="zh-CN"/>
              </w:rPr>
              <w:t>）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土石方量（万m</w:t>
            </w:r>
            <w:r>
              <w:rPr>
                <w:rFonts w:eastAsia="仿宋_GB2312"/>
                <w:color w:val="auto"/>
                <w:vertAlign w:val="superscript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lang w:val="en-US" w:eastAsia="zh-CN"/>
              </w:rPr>
              <w:t>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挖方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填方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借方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18.33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1.87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/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16.46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国家或省级重点防治区名称</w:t>
            </w:r>
          </w:p>
        </w:tc>
        <w:tc>
          <w:tcPr>
            <w:tcW w:w="60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乌江赤水河上中游国家级水土流失重点治理区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地貌类型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bCs/>
                <w:color w:val="auto"/>
                <w:lang w:val="en-US" w:eastAsia="zh-CN"/>
              </w:rPr>
              <w:t>低山地貌</w:t>
            </w:r>
          </w:p>
        </w:tc>
        <w:tc>
          <w:tcPr>
            <w:tcW w:w="30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水土保持区划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土壤侵蚀类型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水力侵蚀</w:t>
            </w:r>
          </w:p>
        </w:tc>
        <w:tc>
          <w:tcPr>
            <w:tcW w:w="30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土壤侵蚀强度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微度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防治责任范围面积(hm²)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1.48</w:t>
            </w:r>
          </w:p>
        </w:tc>
        <w:tc>
          <w:tcPr>
            <w:tcW w:w="30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容许土壤流失量t/(km²·a)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土壤流失流失预测总量(t)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83.45</w:t>
            </w:r>
          </w:p>
        </w:tc>
        <w:tc>
          <w:tcPr>
            <w:tcW w:w="30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新增水土流失量(t)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71.57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水土流失防治标准执行等级</w:t>
            </w:r>
          </w:p>
        </w:tc>
        <w:tc>
          <w:tcPr>
            <w:tcW w:w="60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西南紫色土区建设类一级标准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防治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目标</w:t>
            </w:r>
          </w:p>
        </w:tc>
        <w:tc>
          <w:tcPr>
            <w:tcW w:w="22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水土流失总治理度(%)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97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土壤流失控制比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渣土防护率(%)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9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4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表土保护率(%)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林草植被恢复率(%)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97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林草覆盖率(%)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防治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措施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防治分区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工程措施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植物措施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建设项目防治区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spacing w:val="-4"/>
                <w:lang w:val="en-US" w:eastAsia="zh-CN"/>
              </w:rPr>
              <w:t>主体设计：</w:t>
            </w:r>
            <w:r>
              <w:rPr>
                <w:rFonts w:eastAsia="仿宋_GB2312"/>
                <w:bCs/>
                <w:color w:val="auto"/>
                <w:spacing w:val="-4"/>
                <w:lang w:val="en-US" w:eastAsia="zh-CN"/>
              </w:rPr>
              <w:t>雨水管网</w:t>
            </w:r>
            <w:r>
              <w:rPr>
                <w:rFonts w:hint="eastAsia" w:eastAsia="仿宋_GB2312"/>
                <w:bCs/>
                <w:color w:val="auto"/>
                <w:spacing w:val="-4"/>
                <w:lang w:val="en-US" w:eastAsia="zh-CN"/>
              </w:rPr>
              <w:t>463</w:t>
            </w:r>
            <w:r>
              <w:rPr>
                <w:rFonts w:eastAsia="仿宋_GB2312"/>
                <w:bCs/>
                <w:color w:val="auto"/>
                <w:spacing w:val="-4"/>
                <w:lang w:val="en-US" w:eastAsia="zh-CN"/>
              </w:rPr>
              <w:t>m</w:t>
            </w:r>
            <w:r>
              <w:rPr>
                <w:rFonts w:hint="eastAsia"/>
                <w:bCs/>
                <w:color w:val="auto"/>
                <w:spacing w:val="-4"/>
                <w:lang w:val="en-US"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spacing w:val="-4"/>
                <w:lang w:val="en-US" w:eastAsia="zh-CN"/>
              </w:rPr>
              <w:t>透水砖铺装3367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>m</w:t>
            </w:r>
            <w:r>
              <w:rPr>
                <w:rFonts w:eastAsia="仿宋_GB2312"/>
                <w:bCs/>
                <w:color w:val="auto"/>
                <w:vertAlign w:val="superscript"/>
                <w:lang w:val="en-US" w:eastAsia="zh-CN"/>
              </w:rPr>
              <w:t>2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主体设计：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景观绿化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>0.15hm</w:t>
            </w:r>
            <w:r>
              <w:rPr>
                <w:rFonts w:eastAsia="仿宋_GB2312"/>
                <w:bCs/>
                <w:color w:val="auto"/>
                <w:vertAlign w:val="superscript"/>
                <w:lang w:val="en-US" w:eastAsia="zh-CN"/>
              </w:rPr>
              <w:t>2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主体设计：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车辆冲洗站</w:t>
            </w:r>
            <w:r>
              <w:rPr>
                <w:rFonts w:hint="eastAsia" w:eastAsia="仿宋_GB2312"/>
                <w:bCs/>
                <w:color w:val="auto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lang w:val="en-US" w:eastAsia="zh-CN"/>
              </w:rPr>
              <w:t>座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spacing w:val="-10"/>
                <w:lang w:val="en-US" w:eastAsia="zh-CN"/>
              </w:rPr>
            </w:pPr>
            <w:r>
              <w:rPr>
                <w:rFonts w:eastAsia="仿宋_GB2312"/>
                <w:color w:val="auto"/>
                <w:spacing w:val="-10"/>
                <w:lang w:val="en-US" w:eastAsia="zh-CN"/>
              </w:rPr>
              <w:t>方案新增：</w:t>
            </w:r>
            <w:r>
              <w:rPr>
                <w:rFonts w:eastAsia="仿宋_GB2312"/>
                <w:bCs/>
                <w:color w:val="auto"/>
                <w:spacing w:val="-10"/>
                <w:lang w:val="en-US" w:eastAsia="zh-CN"/>
              </w:rPr>
              <w:t>彩条布覆盖</w:t>
            </w:r>
            <w:r>
              <w:rPr>
                <w:rFonts w:hint="eastAsia" w:eastAsia="仿宋_GB2312"/>
                <w:bCs/>
                <w:color w:val="auto"/>
                <w:spacing w:val="-10"/>
                <w:lang w:val="en-US" w:eastAsia="zh-CN"/>
              </w:rPr>
              <w:t>3</w:t>
            </w:r>
            <w:r>
              <w:rPr>
                <w:rFonts w:eastAsia="仿宋_GB2312"/>
                <w:bCs/>
                <w:color w:val="auto"/>
                <w:spacing w:val="-10"/>
                <w:lang w:val="en-US" w:eastAsia="zh-CN"/>
              </w:rPr>
              <w:t>000m</w:t>
            </w:r>
            <w:r>
              <w:rPr>
                <w:rFonts w:eastAsia="仿宋_GB2312"/>
                <w:bCs/>
                <w:color w:val="auto"/>
                <w:spacing w:val="-10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投资(万元)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主体设计：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55.47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方案新增：0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主体设计：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52.50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方案新增：0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主体设计：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0.80</w:t>
            </w:r>
          </w:p>
          <w:p>
            <w:pPr>
              <w:pStyle w:val="5"/>
              <w:framePr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方案新增：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水土保持总投资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(万元)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133.27</w:t>
            </w:r>
            <w:r>
              <w:rPr>
                <w:rFonts w:eastAsia="仿宋_GB2312"/>
                <w:color w:val="auto"/>
                <w:lang w:val="en-US" w:eastAsia="zh-CN"/>
              </w:rPr>
              <w:t>（新增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24.50</w:t>
            </w:r>
            <w:r>
              <w:rPr>
                <w:rFonts w:eastAsia="仿宋_GB2312"/>
                <w:color w:val="auto"/>
                <w:lang w:val="en-US" w:eastAsia="zh-CN"/>
              </w:rPr>
              <w:t>）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独立费用(万元)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监理费(万元)</w:t>
            </w: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/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监测费(万元)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7.95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补偿费</w:t>
            </w:r>
          </w:p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(万元)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spacing w:val="-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4"/>
                <w:lang w:val="en-US" w:eastAsia="zh-CN"/>
              </w:rPr>
              <w:t>2.07676（其中1.806免征，0.27076计征）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方案编制单位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重庆磊威水电勘测设计有限公司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建设单位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spacing w:val="-6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重庆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市</w:t>
            </w:r>
            <w:r>
              <w:rPr>
                <w:rFonts w:eastAsia="仿宋_GB2312"/>
                <w:color w:val="auto"/>
                <w:lang w:val="en-US" w:eastAsia="zh-CN"/>
              </w:rPr>
              <w:t>南川区博顺置业有限公司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法定代表人及电话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徐峰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法定代表人及电话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  <w:shd w:val="clear" w:color="auto" w:fill="FFFFFF"/>
              </w:rPr>
              <w:t>张侃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地址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重庆市南川区西城街道金佛大道54号金安大厦B栋9楼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地址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iCs/>
                <w:color w:val="auto"/>
                <w:kern w:val="0"/>
                <w:sz w:val="18"/>
                <w:szCs w:val="18"/>
              </w:rPr>
              <w:t>重庆市南川区西城街道办事处渝南大道10号传媒中心14楼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邮政编码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4084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邮政邮编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408400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联系人及电话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秦春13896623451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联系人及电话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冯俊13372636905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传真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传真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exact"/>
        </w:trPr>
        <w:tc>
          <w:tcPr>
            <w:tcW w:w="1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电子信箱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电子信箱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framePr/>
              <w:jc w:val="center"/>
              <w:rPr>
                <w:rFonts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3F1E"/>
    <w:rsid w:val="5DF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引用1"/>
    <w:basedOn w:val="6"/>
    <w:next w:val="7"/>
    <w:qFormat/>
    <w:uiPriority w:val="29"/>
    <w:pPr>
      <w:keepLines/>
      <w:widowControl/>
      <w:adjustRightInd w:val="0"/>
      <w:snapToGrid w:val="0"/>
      <w:jc w:val="center"/>
    </w:pPr>
    <w:rPr>
      <w:rFonts w:eastAsia="仿宋_GB2312"/>
      <w:iCs/>
      <w:color w:val="FF0000"/>
      <w:kern w:val="0"/>
      <w:sz w:val="18"/>
      <w:szCs w:val="18"/>
    </w:rPr>
  </w:style>
  <w:style w:type="paragraph" w:customStyle="1" w:styleId="6">
    <w:name w:val="表格11号"/>
    <w:basedOn w:val="1"/>
    <w:qFormat/>
    <w:uiPriority w:val="0"/>
    <w:pPr>
      <w:keepLines/>
      <w:framePr w:hSpace="180" w:wrap="around" w:vAnchor="text" w:hAnchor="text" w:xAlign="center" w:y="1"/>
      <w:widowControl/>
      <w:adjustRightInd w:val="0"/>
      <w:snapToGrid w:val="0"/>
      <w:jc w:val="center"/>
    </w:pPr>
    <w:rPr>
      <w:rFonts w:eastAsia="仿宋_GB2312"/>
      <w:bCs/>
      <w:color w:val="FF0000"/>
      <w:kern w:val="0"/>
      <w:sz w:val="22"/>
      <w:szCs w:val="18"/>
    </w:rPr>
  </w:style>
  <w:style w:type="paragraph" w:customStyle="1" w:styleId="7">
    <w:name w:val="表格10号"/>
    <w:basedOn w:val="1"/>
    <w:qFormat/>
    <w:uiPriority w:val="0"/>
    <w:pPr>
      <w:keepLines/>
      <w:framePr w:hSpace="180" w:wrap="around" w:vAnchor="text" w:hAnchor="text" w:xAlign="center" w:y="1"/>
      <w:adjustRightInd w:val="0"/>
      <w:snapToGrid w:val="0"/>
      <w:jc w:val="center"/>
    </w:pPr>
    <w:rPr>
      <w:rFonts w:eastAsia="仿宋_GB2312"/>
      <w:bCs/>
      <w:color w:val="FF0000"/>
      <w:sz w:val="2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2025-01-22T07:30:00Z</dcterms:created>
  <dc:creator>Administrator</dc:creator>
  <cp:lastModifiedBy>Administrator</cp:lastModifiedBy>
  <dcterms:modified xsi:type="dcterms:W3CDTF">2025-01-22T07:31:25Z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