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50" w:line="46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tbl>
      <w:tblPr>
        <w:tblStyle w:val="3"/>
        <w:tblpPr w:leftFromText="180" w:rightFromText="180" w:vertAnchor="text" w:horzAnchor="page" w:tblpX="1201" w:tblpY="1299"/>
        <w:tblOverlap w:val="never"/>
        <w:tblW w:w="1017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140"/>
        <w:gridCol w:w="1560"/>
        <w:gridCol w:w="1817"/>
        <w:gridCol w:w="1423"/>
        <w:gridCol w:w="1416"/>
        <w:gridCol w:w="1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项目名称</w:t>
            </w:r>
          </w:p>
        </w:tc>
        <w:tc>
          <w:tcPr>
            <w:tcW w:w="4517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南川区重庆渝磊建材加工有限公司石灰石建筑骨料加工厂项目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流域管理机构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涉及省（市、区）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重庆市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涉及地市或个数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480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/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涉及县或个数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项目规模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占地面积约7.70hm</w:t>
            </w:r>
            <w:r>
              <w:rPr>
                <w:rFonts w:hint="default" w:ascii="Times New Roman" w:hAnsi="Times New Roman" w:eastAsia="仿宋" w:cs="Times New Roman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，均为临时占地，建筑面积约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24510m</w:t>
            </w:r>
            <w:r>
              <w:rPr>
                <w:rFonts w:hint="default" w:ascii="Times New Roman" w:hAnsi="Times New Roman" w:eastAsia="仿宋" w:cs="Times New Roman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，绿化率4.94%。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总投资（万元）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4000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土建投资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（万元）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11"/>
                <w:szCs w:val="1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动工时间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2022年10月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完工时间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2023年10月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设计水平年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2025年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工程占地（hm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）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7.70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永久占地（hm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）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/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临时占地（hm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7.70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098" w:type="dxa"/>
            <w:gridSpan w:val="3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土石方量（万m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  <w:vertAlign w:val="superscript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）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挖方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填方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借方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利用方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exact"/>
        </w:trPr>
        <w:tc>
          <w:tcPr>
            <w:tcW w:w="409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6.31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6.20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11"/>
                <w:szCs w:val="11"/>
              </w:rPr>
              <w:t>/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Cs/>
                <w:kern w:val="0"/>
                <w:sz w:val="11"/>
                <w:szCs w:val="11"/>
              </w:rPr>
              <w:t>0.11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0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重点防治区名称</w:t>
            </w:r>
          </w:p>
        </w:tc>
        <w:tc>
          <w:tcPr>
            <w:tcW w:w="60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乌江赤水河上中游国家级水土流失重点治理区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0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地貌类型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低山地貌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水土保持区划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西南土石山区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0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土壤侵蚀类型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水力侵蚀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土壤侵蚀强度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轻度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0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防治责任范围面积（hm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）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7.70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容许土壤流失量[t/(km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·</w:t>
            </w: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a)]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0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土壤流失预测总量（t）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127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新增土壤流失量（t）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108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409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水土流失防治标准执行等级</w:t>
            </w:r>
          </w:p>
        </w:tc>
        <w:tc>
          <w:tcPr>
            <w:tcW w:w="60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480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西南紫色土区建设类一级防治标准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防治目标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水土流失治理度（%）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97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土壤流失控制比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渣土防护率（%）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92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表土保护率（%）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ind w:firstLine="480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林草植被恢复率（%）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97</w:t>
            </w:r>
          </w:p>
        </w:tc>
        <w:tc>
          <w:tcPr>
            <w:tcW w:w="2839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" w:cs="Times New Roman"/>
                <w:sz w:val="11"/>
                <w:szCs w:val="1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林草覆盖率（%）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防治措施及工程量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分区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工程措施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植物措施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</w:trPr>
        <w:tc>
          <w:tcPr>
            <w:tcW w:w="13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主体工程区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-24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主体已列：排水沟260m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line="24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主体已列：撒播草籽0.09hm</w:t>
            </w: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方案新增：临时排水沟85m；临时沉沙池1座；防雨布18600m</w:t>
            </w: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3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办公管理区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-24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/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主体已列：撒播草籽0.23hm</w:t>
            </w: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  <w:vertAlign w:val="superscript"/>
              </w:rPr>
              <w:t>2</w:t>
            </w:r>
          </w:p>
          <w:p>
            <w:pPr>
              <w:pStyle w:val="5"/>
              <w:widowControl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方案新增：补撒草籽0.23hm</w:t>
            </w: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  <w:vertAlign w:val="superscript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；撒播草籽0.06hm</w:t>
            </w: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方案新增：临时排水沟82m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矿石转运区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tabs>
                <w:tab w:val="left" w:pos="-24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/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line="240" w:lineRule="exac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/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line="24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</w:rPr>
              <w:t>方案新增：防雨布覆盖1150m</w:t>
            </w:r>
            <w:r>
              <w:rPr>
                <w:rFonts w:hint="default" w:ascii="Times New Roman" w:hAnsi="Times New Roman" w:eastAsia="仿宋" w:cs="Times New Roman"/>
                <w:color w:val="auto"/>
                <w:sz w:val="11"/>
                <w:szCs w:val="1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3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投资（万元）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10.40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0.11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11.61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538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水土保持总投资（万元）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39.12</w:t>
            </w:r>
          </w:p>
        </w:tc>
        <w:tc>
          <w:tcPr>
            <w:tcW w:w="324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独立费用（万元）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6.03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监理费（万元）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/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监测费（万元）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5.34</w:t>
            </w:r>
          </w:p>
        </w:tc>
        <w:tc>
          <w:tcPr>
            <w:tcW w:w="14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补偿费（万元）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4.25（42525.00元）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方案编制单位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重庆润源鑫水土保持科技开发有限公司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建设单位</w:t>
            </w:r>
          </w:p>
        </w:tc>
        <w:tc>
          <w:tcPr>
            <w:tcW w:w="425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重庆渝磊建材加工有限公司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法定代表人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李源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法定代表人</w:t>
            </w:r>
          </w:p>
        </w:tc>
        <w:tc>
          <w:tcPr>
            <w:tcW w:w="425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11"/>
                <w:szCs w:val="1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  <w:lang w:val="zh-CN"/>
              </w:rPr>
              <w:t>杨静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地址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重庆市渝中区石油路1号恒大都市广场11栋10-5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地址</w:t>
            </w:r>
          </w:p>
        </w:tc>
        <w:tc>
          <w:tcPr>
            <w:tcW w:w="425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8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sz w:val="11"/>
                <w:szCs w:val="11"/>
                <w:lang w:val="zh-CN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重庆市南川区水江镇双河村二社砖房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邮编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400000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邮编</w:t>
            </w:r>
          </w:p>
        </w:tc>
        <w:tc>
          <w:tcPr>
            <w:tcW w:w="425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408403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联系人及电话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李源13594198198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联系人及电话</w:t>
            </w:r>
          </w:p>
        </w:tc>
        <w:tc>
          <w:tcPr>
            <w:tcW w:w="425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姚建科17702335123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exact"/>
        </w:trPr>
        <w:tc>
          <w:tcPr>
            <w:tcW w:w="13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电子邮箱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3305981@qq.com</w:t>
            </w:r>
          </w:p>
        </w:tc>
        <w:tc>
          <w:tcPr>
            <w:tcW w:w="181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1"/>
                <w:szCs w:val="11"/>
              </w:rPr>
              <w:t>电子邮箱</w:t>
            </w:r>
          </w:p>
        </w:tc>
        <w:tc>
          <w:tcPr>
            <w:tcW w:w="4258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 w:val="11"/>
                <w:szCs w:val="11"/>
              </w:rPr>
            </w:pPr>
            <w:r>
              <w:rPr>
                <w:rFonts w:hint="default" w:ascii="Times New Roman" w:hAnsi="Times New Roman" w:eastAsia="仿宋" w:cs="Times New Roman"/>
                <w:sz w:val="11"/>
                <w:szCs w:val="11"/>
              </w:rPr>
              <w:t>/</w:t>
            </w:r>
          </w:p>
        </w:tc>
      </w:tr>
    </w:tbl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南川区重庆渝磊建材加工有限公司石灰石建筑骨料加工厂项目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水土保持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变更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方案特性表</w:t>
      </w:r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1283F"/>
    <w:rsid w:val="6381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paragraph" w:customStyle="1" w:styleId="5">
    <w:name w:val="表格文字"/>
    <w:basedOn w:val="1"/>
    <w:qFormat/>
    <w:uiPriority w:val="0"/>
    <w:pPr>
      <w:jc w:val="center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2025-03-04T02:15:00Z</dcterms:created>
  <dc:creator>Administrator</dc:creator>
  <cp:lastModifiedBy>Administrator</cp:lastModifiedBy>
  <dcterms:modified xsi:type="dcterms:W3CDTF">2025-03-04T02:18:01Z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