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重庆市南川区南平镇石庆村建筑石料用</w:t>
      </w:r>
    </w:p>
    <w:p>
      <w:pPr>
        <w:spacing w:line="52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灰岩矿山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水土保持方案特性表</w:t>
      </w:r>
    </w:p>
    <w:tbl>
      <w:tblPr>
        <w:tblStyle w:val="3"/>
        <w:tblW w:w="924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8"/>
        <w:gridCol w:w="426"/>
        <w:gridCol w:w="416"/>
        <w:gridCol w:w="151"/>
        <w:gridCol w:w="708"/>
        <w:gridCol w:w="531"/>
        <w:gridCol w:w="702"/>
        <w:gridCol w:w="327"/>
        <w:gridCol w:w="318"/>
        <w:gridCol w:w="390"/>
        <w:gridCol w:w="480"/>
        <w:gridCol w:w="675"/>
        <w:gridCol w:w="263"/>
        <w:gridCol w:w="517"/>
        <w:gridCol w:w="795"/>
        <w:gridCol w:w="825"/>
        <w:gridCol w:w="10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02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项目名称</w:t>
            </w:r>
          </w:p>
        </w:tc>
        <w:tc>
          <w:tcPr>
            <w:tcW w:w="4698" w:type="dxa"/>
            <w:gridSpan w:val="10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重庆市南川区南平镇石庆村建筑石料用灰岩矿山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流域管理机构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02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涉及省市</w:t>
            </w: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涉及地市或个数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  <w:bookmarkStart w:id="1" w:name="_GoBack"/>
            <w:bookmarkEnd w:id="1"/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涉及县或个数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02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项目规模</w:t>
            </w: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vertAlign w:val="subscript"/>
              </w:rPr>
            </w:pPr>
            <w:r>
              <w:rPr>
                <w:rFonts w:hint="default" w:ascii="Times New Roman" w:hAnsi="Times New Roman" w:eastAsia="仿宋_GB2312" w:cs="Times New Roman"/>
                <w:szCs w:val="26"/>
              </w:rPr>
              <w:t>扩建</w:t>
            </w:r>
            <w:r>
              <w:rPr>
                <w:rFonts w:hint="default" w:ascii="Times New Roman" w:hAnsi="Times New Roman" w:eastAsia="仿宋_GB2312" w:cs="Times New Roman"/>
              </w:rPr>
              <w:t>矿山，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矿区面积共计28.86hm</w:t>
            </w:r>
            <w:r>
              <w:rPr>
                <w:rFonts w:hint="default" w:ascii="Times New Roman" w:hAnsi="Times New Roman" w:eastAsia="仿宋_GB2312" w:cs="Times New Roman"/>
                <w:bCs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Cs/>
              </w:rPr>
              <w:t>，生产规模为180万吨/年，矿山服务年限13年。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总投资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（万元）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11000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土建投资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（万元）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02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动工时间</w:t>
            </w: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2025年3月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完工时间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2025年12月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设计水平年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102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工程占地（hm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806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28.86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永久占地（hm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临时占地（hm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28.86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vMerge w:val="restart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土石方量（万m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挖方量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填方量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借方量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弃（余）方量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6.17</w:t>
            </w:r>
          </w:p>
        </w:tc>
        <w:tc>
          <w:tcPr>
            <w:tcW w:w="154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6.17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重点防治区名称</w:t>
            </w:r>
          </w:p>
        </w:tc>
        <w:tc>
          <w:tcPr>
            <w:tcW w:w="6336" w:type="dxa"/>
            <w:gridSpan w:val="11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乌江赤水河上中游国家级及重庆市水土流失重点治理区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地貌类型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低山地貌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水土保持区划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土壤侵蚀类型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水力侵蚀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土壤侵蚀强度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中度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防治责任范围（hm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）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28.86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容许土壤流失量[t/（km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·a）]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土壤流失预测总量（t）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29451</w:t>
            </w:r>
          </w:p>
        </w:tc>
        <w:tc>
          <w:tcPr>
            <w:tcW w:w="312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新增土壤流失量（t）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12080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水土流失防治标准执行等级</w:t>
            </w:r>
          </w:p>
        </w:tc>
        <w:tc>
          <w:tcPr>
            <w:tcW w:w="6336" w:type="dxa"/>
            <w:gridSpan w:val="11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西南紫色土区建设生产类项目一级标准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防治目标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水土流失治理度（%）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97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土壤流失控制比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渣土防护率（%）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92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表土保护率（%）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林草植被恢复率（%）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97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林草覆盖率（%）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至设计水平年防治措施及工程量</w:t>
            </w: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防治分区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工程措施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植物措施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办公生活区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排水沟60m，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集水池1座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采矿区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</w:rPr>
              <w:t>表土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培肥</w:t>
            </w:r>
            <w:r>
              <w:rPr>
                <w:rFonts w:hint="default" w:ascii="Times New Roman" w:hAnsi="Times New Roman" w:eastAsia="仿宋_GB2312" w:cs="Times New Roman"/>
              </w:rPr>
              <w:t>0.63万m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，表土回覆0.63万m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，土地整治2.08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。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</w:rPr>
              <w:t>栽植攀援植物5152株，栽植灌木5152株，撒播草籽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2.08hm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方案新增：防雨布覆盖5000m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矿山道路区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/>
                <w:bCs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方案新增：临时排水沟90m，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临时沉沙池1座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排土场区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主体已列：浆砌石挡墙90m、护脚墙240m、排水沟128m。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主体已列：植树种草绿化1.31hm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方案新增：植树种草绿化（补植）0.32hm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临时堆土区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方案新增：临时拦挡194m，防雨布覆盖8800m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60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投资（万元）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8.41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50.70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（方案新增0.50）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17.32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（方案新增）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设计水平年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水土保持总投资（万元）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147.78(方案新增89.17)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独立费用（万元）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20.72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908" w:type="dxa"/>
            <w:gridSpan w:val="7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监理费（万元）</w:t>
            </w:r>
          </w:p>
        </w:tc>
        <w:tc>
          <w:tcPr>
            <w:tcW w:w="702" w:type="dxa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  <w:tc>
          <w:tcPr>
            <w:tcW w:w="1515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监测费(万元)</w:t>
            </w: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7.47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补偿费（万元）</w:t>
            </w:r>
          </w:p>
        </w:tc>
        <w:tc>
          <w:tcPr>
            <w:tcW w:w="1044" w:type="dxa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</w:rPr>
              <w:t>40.40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6" w:type="dxa"/>
            <w:gridSpan w:val="2"/>
            <w:vMerge w:val="restart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生产及闭坑期</w:t>
            </w: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防治分区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工程措施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植物措施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6" w:type="dxa"/>
            <w:gridSpan w:val="2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采矿区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</w:t>
            </w:r>
            <w:bookmarkStart w:id="0" w:name="_Hlk185938406"/>
            <w:r>
              <w:rPr>
                <w:rFonts w:hint="default" w:ascii="Times New Roman" w:hAnsi="Times New Roman" w:eastAsia="仿宋_GB2312" w:cs="Times New Roman"/>
              </w:rPr>
              <w:t>表土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培肥</w:t>
            </w:r>
            <w:r>
              <w:rPr>
                <w:rFonts w:hint="default" w:ascii="Times New Roman" w:hAnsi="Times New Roman" w:eastAsia="仿宋_GB2312" w:cs="Times New Roman"/>
              </w:rPr>
              <w:t>5.18万m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，表土回覆5.18万m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3</w:t>
            </w:r>
            <w:r>
              <w:rPr>
                <w:rFonts w:hint="default" w:ascii="Times New Roman" w:hAnsi="Times New Roman" w:eastAsia="仿宋_GB2312" w:cs="Times New Roman"/>
              </w:rPr>
              <w:t>，土地整治16.39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，挡土坎1715m，土地复垦6.79hm</w:t>
            </w:r>
            <w:r>
              <w:rPr>
                <w:rFonts w:hint="default" w:ascii="Times New Roman" w:hAnsi="Times New Roman" w:eastAsia="仿宋_GB2312" w:cs="Times New Roman"/>
                <w:vertAlign w:val="superscript"/>
              </w:rPr>
              <w:t>2</w:t>
            </w:r>
            <w:r>
              <w:rPr>
                <w:rFonts w:hint="default" w:ascii="Times New Roman" w:hAnsi="Times New Roman" w:eastAsia="仿宋_GB2312" w:cs="Times New Roman"/>
              </w:rPr>
              <w:t>，集水池2座；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方案新增：沉沙池3座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，</w:t>
            </w:r>
            <w:r>
              <w:rPr>
                <w:rFonts w:hint="default" w:ascii="Times New Roman" w:hAnsi="Times New Roman" w:eastAsia="仿宋_GB2312" w:cs="Times New Roman"/>
              </w:rPr>
              <w:t>排水沟1683m</w:t>
            </w:r>
            <w:bookmarkEnd w:id="0"/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主体已列：</w:t>
            </w:r>
            <w:r>
              <w:rPr>
                <w:rFonts w:hint="default" w:ascii="Times New Roman" w:hAnsi="Times New Roman" w:eastAsia="仿宋_GB2312" w:cs="Times New Roman"/>
              </w:rPr>
              <w:t>栽植攀援植物8448株，栽植灌木8448株，栽植乔木5329珠，撒播草籽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4.80hm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方案新增：防雨布覆盖15000m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6" w:type="dxa"/>
            <w:gridSpan w:val="2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</w:rPr>
              <w:t>临时堆土区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</w:rPr>
              <w:t>方案新增：防雨布覆盖8800m</w:t>
            </w:r>
            <w:r>
              <w:rPr>
                <w:rFonts w:hint="default" w:ascii="Times New Roman" w:hAnsi="Times New Roman" w:eastAsia="仿宋_GB2312" w:cs="Times New Roman"/>
                <w:bCs/>
                <w:snapToGrid w:val="0"/>
                <w:szCs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76" w:type="dxa"/>
            <w:gridSpan w:val="2"/>
            <w:vMerge w:val="continue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2232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投资（万元）</w:t>
            </w:r>
          </w:p>
        </w:tc>
        <w:tc>
          <w:tcPr>
            <w:tcW w:w="2217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336.34</w:t>
            </w:r>
          </w:p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（方案新增26.39）</w:t>
            </w:r>
          </w:p>
        </w:tc>
        <w:tc>
          <w:tcPr>
            <w:tcW w:w="2250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342.43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19.04（方案新增）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669" w:type="dxa"/>
            <w:gridSpan w:val="5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监理费（万元）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监测费(万元)</w:t>
            </w:r>
          </w:p>
        </w:tc>
        <w:tc>
          <w:tcPr>
            <w:tcW w:w="11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84.00</w:t>
            </w:r>
          </w:p>
        </w:tc>
        <w:tc>
          <w:tcPr>
            <w:tcW w:w="225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补偿费（万元）</w:t>
            </w:r>
          </w:p>
        </w:tc>
        <w:tc>
          <w:tcPr>
            <w:tcW w:w="1869" w:type="dxa"/>
            <w:gridSpan w:val="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5125" w:type="dxa"/>
            <w:gridSpan w:val="12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生产及闭坑期水土保持总投资（万元）</w:t>
            </w:r>
          </w:p>
        </w:tc>
        <w:tc>
          <w:tcPr>
            <w:tcW w:w="4119" w:type="dxa"/>
            <w:gridSpan w:val="6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789.58（方案新增137.20）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方案编制单位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重庆中亚博创地质勘测设计研究院有限责任公司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建设单位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重庆市南川区岩城矿业有限公司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</w:rPr>
              <w:t>法定代表人及电话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郑桂芹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</w:rPr>
              <w:t>法定代表人及电话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pacing w:val="-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胡刚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 址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重庆市渝北区龙溪街道花卉园西一路5号好望花园1幢2-23-4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地   址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  <w:spacing w:val="-6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重庆市南川区南平镇石庆村六社人家山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邮政编码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401147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邮政编码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408422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联系人及电话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李智/18202385535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联系人及电话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</w:rPr>
              <w:t>胡刚</w:t>
            </w:r>
            <w:r>
              <w:rPr>
                <w:rFonts w:hint="default" w:ascii="Times New Roman" w:hAnsi="Times New Roman" w:eastAsia="仿宋_GB2312" w:cs="Times New Roman"/>
              </w:rPr>
              <w:t>/15095869549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传  真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传  真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518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电子信箱</w:t>
            </w:r>
          </w:p>
        </w:tc>
        <w:tc>
          <w:tcPr>
            <w:tcW w:w="3127" w:type="dxa"/>
            <w:gridSpan w:val="7"/>
            <w:noWrap w:val="0"/>
            <w:vAlign w:val="center"/>
          </w:tcPr>
          <w:p>
            <w:pPr>
              <w:spacing w:line="260" w:lineRule="exact"/>
              <w:ind w:firstLine="210" w:firstLineChars="100"/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/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电子信箱</w:t>
            </w:r>
          </w:p>
        </w:tc>
        <w:tc>
          <w:tcPr>
            <w:tcW w:w="3181" w:type="dxa"/>
            <w:gridSpan w:val="4"/>
            <w:noWrap w:val="0"/>
            <w:vAlign w:val="center"/>
          </w:tcPr>
          <w:p>
            <w:pPr>
              <w:pStyle w:val="5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/</w:t>
            </w:r>
          </w:p>
        </w:tc>
      </w:tr>
    </w:tbl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E35C0C"/>
    <w:rsid w:val="4FE3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paragraph" w:customStyle="1" w:styleId="5">
    <w:name w:val="表格123"/>
    <w:basedOn w:val="6"/>
    <w:qFormat/>
    <w:uiPriority w:val="0"/>
    <w:pPr>
      <w:widowControl w:val="0"/>
      <w:jc w:val="center"/>
    </w:pPr>
    <w:rPr>
      <w:rFonts w:ascii="Times New Roman" w:hAnsi="Times New Roman" w:eastAsia="Times New Roman"/>
      <w:sz w:val="21"/>
      <w:szCs w:val="30"/>
      <w:lang w:val="zh-CN"/>
    </w:rPr>
  </w:style>
  <w:style w:type="paragraph" w:styleId="6">
    <w:name w:val="No Spacing"/>
    <w:qFormat/>
    <w:uiPriority w:val="99"/>
    <w:rPr>
      <w:rFonts w:ascii="Calibri" w:hAnsi="Calibri" w:eastAsia="宋体" w:cs="Times New Roman"/>
      <w:sz w:val="22"/>
      <w:szCs w:val="2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2025-03-27T01:04:00Z</dcterms:created>
  <dc:creator>Administrator</dc:creator>
  <cp:lastModifiedBy>Administrator</cp:lastModifiedBy>
  <dcterms:modified xsi:type="dcterms:W3CDTF">2025-03-27T01:05:59Z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