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南川区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城投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·天元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（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二期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）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bookmarkStart w:id="4" w:name="_GoBack"/>
      <w:bookmarkEnd w:id="4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水土保持方案特性表</w:t>
      </w:r>
    </w:p>
    <w:tbl>
      <w:tblPr>
        <w:tblStyle w:val="3"/>
        <w:tblW w:w="928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75"/>
        <w:gridCol w:w="499"/>
        <w:gridCol w:w="830"/>
        <w:gridCol w:w="960"/>
        <w:gridCol w:w="1011"/>
        <w:gridCol w:w="662"/>
        <w:gridCol w:w="1048"/>
        <w:gridCol w:w="705"/>
        <w:gridCol w:w="1187"/>
        <w:gridCol w:w="10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2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39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南川区城投•天元（二期）</w:t>
            </w: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流域管理机构</w:t>
            </w:r>
          </w:p>
        </w:tc>
        <w:tc>
          <w:tcPr>
            <w:tcW w:w="22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长江水利委员会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2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涉及省市</w:t>
            </w:r>
          </w:p>
        </w:tc>
        <w:tc>
          <w:tcPr>
            <w:tcW w:w="39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重庆市</w:t>
            </w: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涉及区县</w:t>
            </w:r>
          </w:p>
        </w:tc>
        <w:tc>
          <w:tcPr>
            <w:tcW w:w="22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南川区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项目规模</w:t>
            </w:r>
          </w:p>
        </w:tc>
        <w:tc>
          <w:tcPr>
            <w:tcW w:w="39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zh-CN"/>
              </w:rPr>
              <w:t>工程规划用地面积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84215m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总建筑面积294252.73m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，总计容建筑面积201823.49m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，容积率2.40，建筑密度48.15%，绿化面积2.91hm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，绿化率34.55%，停车位为1528个。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总投资</w:t>
            </w:r>
          </w:p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200000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土建投资</w:t>
            </w:r>
          </w:p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98445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2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开工时间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2024年8月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完工时间</w:t>
            </w:r>
          </w:p>
        </w:tc>
        <w:tc>
          <w:tcPr>
            <w:tcW w:w="27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2027年10月</w:t>
            </w:r>
          </w:p>
        </w:tc>
        <w:tc>
          <w:tcPr>
            <w:tcW w:w="18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设计水平年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2027年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6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工程占地（hm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zh-CN"/>
              </w:rPr>
              <w:t>9.68</w:t>
            </w:r>
          </w:p>
        </w:tc>
        <w:tc>
          <w:tcPr>
            <w:tcW w:w="1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永久占地（hm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zh-CN"/>
              </w:rPr>
              <w:t>8.42</w:t>
            </w:r>
          </w:p>
        </w:tc>
        <w:tc>
          <w:tcPr>
            <w:tcW w:w="18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临时占地（hm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79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土石方量（万m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1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挖方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填方</w:t>
            </w:r>
          </w:p>
        </w:tc>
        <w:tc>
          <w:tcPr>
            <w:tcW w:w="18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借方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余（弃）方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79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zh-CN"/>
              </w:rPr>
              <w:t>17.03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4.05</w:t>
            </w:r>
          </w:p>
        </w:tc>
        <w:tc>
          <w:tcPr>
            <w:tcW w:w="18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zh-CN"/>
              </w:rPr>
              <w:t>0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12.98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2"/>
                <w:kern w:val="0"/>
                <w:sz w:val="21"/>
                <w:szCs w:val="21"/>
              </w:rPr>
              <w:t>重点防治区名称</w:t>
            </w:r>
          </w:p>
        </w:tc>
        <w:tc>
          <w:tcPr>
            <w:tcW w:w="666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乌江赤水河上中游国家级水土流失重点治理区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重庆市水土流失重点治理区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6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ind w:firstLine="735" w:firstLineChars="35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地貌类型</w:t>
            </w:r>
          </w:p>
        </w:tc>
        <w:tc>
          <w:tcPr>
            <w:tcW w:w="26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剥蚀丘陵地貌</w:t>
            </w: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水土保持区划</w:t>
            </w:r>
          </w:p>
        </w:tc>
        <w:tc>
          <w:tcPr>
            <w:tcW w:w="22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西南紫色土区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6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土壤侵蚀类型</w:t>
            </w:r>
          </w:p>
        </w:tc>
        <w:tc>
          <w:tcPr>
            <w:tcW w:w="26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水力侵蚀</w:t>
            </w: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2"/>
                <w:kern w:val="0"/>
                <w:sz w:val="21"/>
                <w:szCs w:val="21"/>
              </w:rPr>
              <w:t>土壤侵蚀强度</w:t>
            </w:r>
          </w:p>
        </w:tc>
        <w:tc>
          <w:tcPr>
            <w:tcW w:w="22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1"/>
                <w:szCs w:val="21"/>
              </w:rPr>
              <w:t>轻度侵蚀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6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防治责任范围面积（hm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26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zh-CN"/>
              </w:rPr>
              <w:t>9.68</w:t>
            </w:r>
          </w:p>
        </w:tc>
        <w:tc>
          <w:tcPr>
            <w:tcW w:w="29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容许土壤流失量〔t/（km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·a）〕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zh-CN"/>
              </w:rPr>
              <w:t>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6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6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6"/>
                <w:kern w:val="0"/>
                <w:sz w:val="21"/>
                <w:szCs w:val="21"/>
              </w:rPr>
              <w:t>水土流失预测总量（t）</w:t>
            </w:r>
          </w:p>
        </w:tc>
        <w:tc>
          <w:tcPr>
            <w:tcW w:w="26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1700</w:t>
            </w:r>
          </w:p>
        </w:tc>
        <w:tc>
          <w:tcPr>
            <w:tcW w:w="29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新增水土流失量（t）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1154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6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水土流失防治标准执行等级</w:t>
            </w:r>
          </w:p>
        </w:tc>
        <w:tc>
          <w:tcPr>
            <w:tcW w:w="666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西南紫色土区建设类项目一级标准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防治</w:t>
            </w:r>
          </w:p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目标</w:t>
            </w:r>
          </w:p>
        </w:tc>
        <w:tc>
          <w:tcPr>
            <w:tcW w:w="296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水土流失总治理度(%)</w:t>
            </w:r>
          </w:p>
        </w:tc>
        <w:tc>
          <w:tcPr>
            <w:tcW w:w="1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97</w:t>
            </w:r>
          </w:p>
        </w:tc>
        <w:tc>
          <w:tcPr>
            <w:tcW w:w="29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土壤流失控制比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96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渣土防护率率（%）</w:t>
            </w:r>
          </w:p>
        </w:tc>
        <w:tc>
          <w:tcPr>
            <w:tcW w:w="1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94</w:t>
            </w:r>
          </w:p>
        </w:tc>
        <w:tc>
          <w:tcPr>
            <w:tcW w:w="29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表土保护率（%）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96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林草植被恢复率(%)</w:t>
            </w:r>
          </w:p>
        </w:tc>
        <w:tc>
          <w:tcPr>
            <w:tcW w:w="1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97</w:t>
            </w:r>
          </w:p>
        </w:tc>
        <w:tc>
          <w:tcPr>
            <w:tcW w:w="29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林草覆盖率（%）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防</w:t>
            </w:r>
          </w:p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治</w:t>
            </w:r>
          </w:p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措</w:t>
            </w:r>
          </w:p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施</w:t>
            </w:r>
          </w:p>
        </w:tc>
        <w:tc>
          <w:tcPr>
            <w:tcW w:w="20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防治分区</w:t>
            </w: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工程措施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植物措施</w:t>
            </w:r>
          </w:p>
        </w:tc>
        <w:tc>
          <w:tcPr>
            <w:tcW w:w="29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临时措施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bookmarkStart w:id="0" w:name="_Hlk187228100"/>
          </w:p>
        </w:tc>
        <w:tc>
          <w:tcPr>
            <w:tcW w:w="20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项目建设防治区</w:t>
            </w: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主体设计：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雨水管网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1878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m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主体设计：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架空绿化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2.54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superscript"/>
              </w:rPr>
              <w:t>2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实土绿化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0.37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9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方案新增：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临时排水沟72m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</w:rPr>
              <w:t>防雨布覆盖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10000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0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施工便道防治区</w:t>
            </w: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/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/</w:t>
            </w:r>
          </w:p>
        </w:tc>
        <w:tc>
          <w:tcPr>
            <w:tcW w:w="29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主体设计：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车辆冲洗站2座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临时沉砂池2座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方案新增：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临时排水沟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</w:rPr>
              <w:t>242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临时沉砂池1座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</w:rPr>
              <w:t>防雨布覆盖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2000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vertAlign w:val="superscript"/>
              </w:rPr>
              <w:t>2</w:t>
            </w: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0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投资(万元)</w:t>
            </w: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主体已列：60.18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主体已列：755.70</w:t>
            </w:r>
          </w:p>
        </w:tc>
        <w:tc>
          <w:tcPr>
            <w:tcW w:w="29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主体已列：1.25方案新增：14.92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6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水土保持总投资(万元)</w:t>
            </w: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878.82（新增61.69）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独立费用(万元)</w:t>
            </w:r>
          </w:p>
        </w:tc>
        <w:tc>
          <w:tcPr>
            <w:tcW w:w="29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12.37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6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监理费(万元)</w:t>
            </w: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监测费(万元)</w:t>
            </w:r>
          </w:p>
        </w:tc>
        <w:tc>
          <w:tcPr>
            <w:tcW w:w="29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18.12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bookmarkStart w:id="1" w:name="OLE_LINK2"/>
            <w:bookmarkStart w:id="2" w:name="_Hlk222545054"/>
            <w:bookmarkStart w:id="3" w:name="OLE_LINK5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水土保持补偿费缴费信息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项目代码</w:t>
            </w:r>
          </w:p>
        </w:tc>
        <w:tc>
          <w:tcPr>
            <w:tcW w:w="26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2204-500119-04-01-444052</w:t>
            </w: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社会信用代码</w:t>
            </w:r>
          </w:p>
        </w:tc>
        <w:tc>
          <w:tcPr>
            <w:tcW w:w="22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91500119MAC81XQ23T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计费面积</w:t>
            </w:r>
          </w:p>
        </w:tc>
        <w:tc>
          <w:tcPr>
            <w:tcW w:w="26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96825</w:t>
            </w: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计费单价</w:t>
            </w:r>
          </w:p>
        </w:tc>
        <w:tc>
          <w:tcPr>
            <w:tcW w:w="22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1.40元/m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合计（元）</w:t>
            </w:r>
          </w:p>
        </w:tc>
        <w:tc>
          <w:tcPr>
            <w:tcW w:w="666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135555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8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方案编制单位</w:t>
            </w:r>
          </w:p>
        </w:tc>
        <w:tc>
          <w:tcPr>
            <w:tcW w:w="28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重庆市宽道环保工程有限公司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29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重庆市南川区博越置业有限公司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8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法定代表人及电话</w:t>
            </w:r>
          </w:p>
        </w:tc>
        <w:tc>
          <w:tcPr>
            <w:tcW w:w="28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方远琴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kern w:val="0"/>
                <w:sz w:val="21"/>
                <w:szCs w:val="21"/>
              </w:rPr>
              <w:t>法定代表人及电话</w:t>
            </w:r>
          </w:p>
        </w:tc>
        <w:tc>
          <w:tcPr>
            <w:tcW w:w="29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ind w:firstLine="4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汪克亮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8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地    址</w:t>
            </w:r>
          </w:p>
        </w:tc>
        <w:tc>
          <w:tcPr>
            <w:tcW w:w="28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重庆市南川区西城街道办事处渝南大道2号金佛尚城6幢1单元4-4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地    址</w:t>
            </w:r>
          </w:p>
        </w:tc>
        <w:tc>
          <w:tcPr>
            <w:tcW w:w="29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重庆市南川区西城街道渝南大道8号（办公楼）3幢1-1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8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邮    编</w:t>
            </w:r>
          </w:p>
        </w:tc>
        <w:tc>
          <w:tcPr>
            <w:tcW w:w="28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408400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邮    编</w:t>
            </w:r>
          </w:p>
        </w:tc>
        <w:tc>
          <w:tcPr>
            <w:tcW w:w="29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408400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8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联系人及电话</w:t>
            </w:r>
          </w:p>
        </w:tc>
        <w:tc>
          <w:tcPr>
            <w:tcW w:w="28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</w:rPr>
              <w:t>周熊建/18523651555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联系人及电话</w:t>
            </w:r>
          </w:p>
        </w:tc>
        <w:tc>
          <w:tcPr>
            <w:tcW w:w="29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李云霖/18623251966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8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传    真</w:t>
            </w:r>
          </w:p>
        </w:tc>
        <w:tc>
          <w:tcPr>
            <w:tcW w:w="28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/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传    真</w:t>
            </w:r>
          </w:p>
        </w:tc>
        <w:tc>
          <w:tcPr>
            <w:tcW w:w="29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8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28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/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29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/</w:t>
            </w:r>
          </w:p>
        </w:tc>
      </w:tr>
      <w:bookmarkEnd w:id="1"/>
      <w:bookmarkEnd w:id="2"/>
      <w:bookmarkEnd w:id="3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35C0C"/>
    <w:rsid w:val="4FE35C0C"/>
    <w:rsid w:val="7325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jc w:val="center"/>
    </w:pPr>
    <w:rPr>
      <w:rFonts w:ascii="宋体" w:hAnsi="宋体"/>
      <w:sz w:val="44"/>
    </w:rPr>
  </w:style>
  <w:style w:type="paragraph" w:customStyle="1" w:styleId="5">
    <w:name w:val="表格123"/>
    <w:basedOn w:val="6"/>
    <w:qFormat/>
    <w:uiPriority w:val="0"/>
    <w:pPr>
      <w:widowControl w:val="0"/>
      <w:jc w:val="center"/>
    </w:pPr>
    <w:rPr>
      <w:rFonts w:ascii="Times New Roman" w:hAnsi="Times New Roman" w:eastAsia="Times New Roman"/>
      <w:sz w:val="21"/>
      <w:szCs w:val="30"/>
      <w:lang w:val="zh-CN"/>
    </w:rPr>
  </w:style>
  <w:style w:type="paragraph" w:styleId="6">
    <w:name w:val="No Spacing"/>
    <w:qFormat/>
    <w:uiPriority w:val="99"/>
    <w:rPr>
      <w:rFonts w:ascii="Calibri" w:hAnsi="Calibri" w:eastAsia="宋体" w:cs="Times New Roman"/>
      <w:sz w:val="22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2025-03-27T01:04:00Z</dcterms:created>
  <dc:creator>Administrator</dc:creator>
  <cp:lastModifiedBy>Administrator</cp:lastModifiedBy>
  <dcterms:modified xsi:type="dcterms:W3CDTF">2025-03-27T01:15:12Z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