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重庆渝川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矿业有限公司南川区水江镇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水河村二社建筑石料用灰岩矿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方案特性表</w:t>
      </w:r>
    </w:p>
    <w:tbl>
      <w:tblPr>
        <w:tblStyle w:val="3"/>
        <w:tblW w:w="94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90"/>
        <w:gridCol w:w="236"/>
        <w:gridCol w:w="889"/>
        <w:gridCol w:w="341"/>
        <w:gridCol w:w="640"/>
        <w:gridCol w:w="354"/>
        <w:gridCol w:w="1068"/>
        <w:gridCol w:w="72"/>
        <w:gridCol w:w="1410"/>
        <w:gridCol w:w="240"/>
        <w:gridCol w:w="1305"/>
        <w:gridCol w:w="495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5010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Cs w:val="21"/>
                <w:highlight w:val="none"/>
                <w:lang w:eastAsia="zh-CN"/>
              </w:rPr>
              <w:t>重庆渝川矿业有限公司南川区水江镇水河村二社建筑石料用灰岩矿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流域管理机构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涉及省（市、区）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重庆市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涉及地市或个数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涉及县或个数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南川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项目规模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新建矿山，矿区面积共计0.0888km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highlight w:val="none"/>
              </w:rPr>
              <w:t>，生产规模为120万t/a，矿山服务年限9.4年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总投资</w:t>
            </w:r>
          </w:p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(万元)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6000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土建投</w:t>
            </w:r>
          </w:p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(万元)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建设期开工时间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年10月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建设期完工时间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年12月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设计水平年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工程占地（hm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17.02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永久占地（hm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临时占地（hm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17.02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土石方量（万m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挖方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填方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借方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20.57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2.03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18.54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重点防治区名称</w:t>
            </w:r>
          </w:p>
        </w:tc>
        <w:tc>
          <w:tcPr>
            <w:tcW w:w="58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乌江赤水河上中游国家级水土流失重点治理区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地貌类型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丘陵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水土保持区划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土壤侵蚀类型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水力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土壤侵蚀强度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防治责任范围面积（hm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17.02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容许土壤流失量[t/km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·a]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土壤流失调查及预测总量（t）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7937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新增水土流失量（t）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4698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61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水土流失防治标准执行等级</w:t>
            </w:r>
          </w:p>
        </w:tc>
        <w:tc>
          <w:tcPr>
            <w:tcW w:w="58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西南紫色土区建设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建设期防治目标</w:t>
            </w: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水土流失治理度(%)</w:t>
            </w:r>
          </w:p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97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土壤流失控制比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渣土防护率（%）</w:t>
            </w:r>
          </w:p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表土保护率(%)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5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4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林草植被恢复率(%)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295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林草覆盖率(%)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防治措施及工程量</w:t>
            </w:r>
          </w:p>
        </w:tc>
        <w:tc>
          <w:tcPr>
            <w:tcW w:w="171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防治分区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工程措施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植物措施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建设期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矿山开采防治区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表土剥离0.14万m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</w:rPr>
            </w:pP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矿山公路防治区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洗车池1座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生产期及闭坑期</w:t>
            </w: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矿山开采防治区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主体设计：表土剥离1.19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万m³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、表土回覆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1.33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万m³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、挡土埂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2002m、浆砌石排水沟1950m、沉沙池2口、蓄水池2口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主体设计：灌草藤本绿化0.84hm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、乔灌草种植0.31hm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防雨布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苫盖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矿山公路防治区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主体设计：清砾翻耕0.19hm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主体设计：植被补绿0.15hm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防雨布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苫盖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5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表土堆场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防治区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主体设计：清砾翻耕0.35hm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方案新增：浆砌石沉沙池1口、编织袋拦挡64m、土质临时排水沟408m、防雨布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苫盖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撒播草籽0.35hm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渣土散落防治区</w:t>
            </w: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主体设计：清砾翻耕1.56hm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17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主体设计：植被补绿5.98hm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方案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防雨布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苫盖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、编织袋拦挡602m、土质临时排水沟774m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6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投资(万元)</w:t>
            </w:r>
          </w:p>
        </w:tc>
        <w:tc>
          <w:tcPr>
            <w:tcW w:w="206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128.88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已列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7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26.26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已列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25.62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（方案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水土保持总投资(万元)</w:t>
            </w:r>
          </w:p>
        </w:tc>
        <w:tc>
          <w:tcPr>
            <w:tcW w:w="4125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308.89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（主体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155.14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，方案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153.75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独立费用(万元)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36.07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监理费(万元)</w:t>
            </w:r>
          </w:p>
        </w:tc>
        <w:tc>
          <w:tcPr>
            <w:tcW w:w="9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4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监测费(万元)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73.63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补偿费(万元)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10.31478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方案编制单位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重庆润源鑫水土保持</w:t>
            </w:r>
          </w:p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科技开发有限公司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建设单位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eastAsia="zh-CN"/>
              </w:rPr>
              <w:t>重庆渝川矿业有限公司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李 源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胡开全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重庆市渝中区石油路1号恒大都市广场11栋10-5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地址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重庆市南川区水江镇双河村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二社砖房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400021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邮编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400403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联系人及电话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李 源 13594198198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联系人及电话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姚建科/17702335123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2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电子信箱</w:t>
            </w:r>
          </w:p>
        </w:tc>
        <w:tc>
          <w:tcPr>
            <w:tcW w:w="24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3305981@qq.com</w:t>
            </w:r>
          </w:p>
        </w:tc>
        <w:tc>
          <w:tcPr>
            <w:tcW w:w="16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autoSpaceDE w:val="0"/>
              <w:autoSpaceDN w:val="0"/>
              <w:spacing w:before="0" w:after="0"/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</w:rPr>
              <w:t>电子信箱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623A3"/>
    <w:rsid w:val="1C906AFB"/>
    <w:rsid w:val="6C76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paragraph" w:customStyle="1" w:styleId="5">
    <w:name w:val="表"/>
    <w:basedOn w:val="1"/>
    <w:next w:val="1"/>
    <w:qFormat/>
    <w:uiPriority w:val="0"/>
    <w:pPr>
      <w:adjustRightInd w:val="0"/>
      <w:snapToGrid w:val="0"/>
      <w:spacing w:before="40" w:after="40" w:line="240" w:lineRule="auto"/>
      <w:ind w:firstLine="0" w:firstLineChars="0"/>
      <w:jc w:val="center"/>
    </w:pPr>
    <w:rPr>
      <w:sz w:val="21"/>
    </w:rPr>
  </w:style>
  <w:style w:type="paragraph" w:customStyle="1" w:styleId="6">
    <w:name w:val="特性表"/>
    <w:basedOn w:val="7"/>
    <w:qFormat/>
    <w:uiPriority w:val="0"/>
    <w:pPr>
      <w:jc w:val="center"/>
    </w:pPr>
    <w:rPr>
      <w:kern w:val="0"/>
      <w:sz w:val="18"/>
      <w:szCs w:val="30"/>
    </w:rPr>
  </w:style>
  <w:style w:type="paragraph" w:styleId="7">
    <w:name w:val="No Spacing"/>
    <w:qFormat/>
    <w:uiPriority w:val="99"/>
    <w:rPr>
      <w:rFonts w:ascii="Calibri" w:hAnsi="Calibri" w:eastAsia="宋体" w:cs="Times New Roman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2025-04-16T08:44:00Z</dcterms:created>
  <dc:creator>Administrator</dc:creator>
  <cp:lastModifiedBy>Administrator</cp:lastModifiedBy>
  <dcterms:modified xsi:type="dcterms:W3CDTF">2025-04-16T08:45:47Z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