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重庆市南川区大溪河流域水环境综合治理</w:t>
      </w: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工程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水土保持方案特性表</w:t>
      </w:r>
      <w:bookmarkEnd w:id="0"/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563"/>
        <w:gridCol w:w="521"/>
        <w:gridCol w:w="775"/>
        <w:gridCol w:w="802"/>
        <w:gridCol w:w="487"/>
        <w:gridCol w:w="789"/>
        <w:gridCol w:w="260"/>
        <w:gridCol w:w="1072"/>
        <w:gridCol w:w="253"/>
        <w:gridCol w:w="368"/>
        <w:gridCol w:w="273"/>
        <w:gridCol w:w="339"/>
        <w:gridCol w:w="810"/>
        <w:gridCol w:w="320"/>
        <w:gridCol w:w="10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1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项目名称</w:t>
            </w:r>
          </w:p>
        </w:tc>
        <w:tc>
          <w:tcPr>
            <w:tcW w:w="470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重庆市南川区大溪河流域水环境综合治理工程</w:t>
            </w:r>
          </w:p>
        </w:tc>
        <w:tc>
          <w:tcPr>
            <w:tcW w:w="204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流域管理机构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长江水利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1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涉及省市</w:t>
            </w:r>
          </w:p>
        </w:tc>
        <w:tc>
          <w:tcPr>
            <w:tcW w:w="209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重庆市</w:t>
            </w:r>
          </w:p>
        </w:tc>
        <w:tc>
          <w:tcPr>
            <w:tcW w:w="15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涉及地市或个数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涉及县或个数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南川区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1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项目规模</w:t>
            </w:r>
          </w:p>
        </w:tc>
        <w:tc>
          <w:tcPr>
            <w:tcW w:w="363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本工程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治理河道总长为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11.258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km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共分为4段，分别为神龙桥上游段、永安中游段、红山村下游段和白岩溪支沟段，主要包括新建（整治加固）生态护岸18.70km（其中新建护岸2936.97m，整治加固护岸15763.12m），河道疏浚8.539km，新建生态步道及护栏11.5km，新建生态沟渠4.6km，新建生态隔离带0.12k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，新建污水管网7953m。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总投资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（万元）</w:t>
            </w:r>
          </w:p>
        </w:tc>
        <w:tc>
          <w:tcPr>
            <w:tcW w:w="89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5779.76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土建投资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（万元）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5059.30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1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工时间</w:t>
            </w:r>
          </w:p>
        </w:tc>
        <w:tc>
          <w:tcPr>
            <w:tcW w:w="25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月</w:t>
            </w:r>
          </w:p>
        </w:tc>
        <w:tc>
          <w:tcPr>
            <w:tcW w:w="10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完工时间</w:t>
            </w:r>
          </w:p>
        </w:tc>
        <w:tc>
          <w:tcPr>
            <w:tcW w:w="196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2026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月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设计水平年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1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工程占地（hm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258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21.24</w:t>
            </w:r>
          </w:p>
        </w:tc>
        <w:tc>
          <w:tcPr>
            <w:tcW w:w="10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永久占地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（hm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196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7.74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临时占地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（hm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13.50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3748" w:type="dxa"/>
            <w:gridSpan w:val="6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土石方量（万m³）</w:t>
            </w:r>
          </w:p>
        </w:tc>
        <w:tc>
          <w:tcPr>
            <w:tcW w:w="10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挖方</w:t>
            </w:r>
          </w:p>
        </w:tc>
        <w:tc>
          <w:tcPr>
            <w:tcW w:w="196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填方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借方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余（弃）方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3748" w:type="dxa"/>
            <w:gridSpan w:val="6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11.57</w:t>
            </w:r>
          </w:p>
        </w:tc>
        <w:tc>
          <w:tcPr>
            <w:tcW w:w="196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4.01</w:t>
            </w:r>
          </w:p>
        </w:tc>
        <w:tc>
          <w:tcPr>
            <w:tcW w:w="114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7.56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24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重点防治区名称</w:t>
            </w:r>
          </w:p>
        </w:tc>
        <w:tc>
          <w:tcPr>
            <w:tcW w:w="677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乌江赤水河上中游国家级水土流失重点治理区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重庆市水土流失重点治理区、南川区水土流失重点预防区和重点治理区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24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地貌类型</w:t>
            </w:r>
          </w:p>
        </w:tc>
        <w:tc>
          <w:tcPr>
            <w:tcW w:w="20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/>
              </w:rPr>
              <w:t>剥蚀低山地貌</w:t>
            </w:r>
          </w:p>
        </w:tc>
        <w:tc>
          <w:tcPr>
            <w:tcW w:w="256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水土保持区划</w:t>
            </w: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西南紫色土区（四川盆地及周围山地丘陵区）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24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土壤侵蚀类型</w:t>
            </w:r>
          </w:p>
        </w:tc>
        <w:tc>
          <w:tcPr>
            <w:tcW w:w="20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水力侵蚀</w:t>
            </w:r>
          </w:p>
        </w:tc>
        <w:tc>
          <w:tcPr>
            <w:tcW w:w="256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土壤侵蚀强度</w:t>
            </w: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微度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24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防治责任范围面积（hm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20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21.24</w:t>
            </w:r>
          </w:p>
        </w:tc>
        <w:tc>
          <w:tcPr>
            <w:tcW w:w="256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容许土壤流失量[t/（km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.a）]</w:t>
            </w: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24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土壤流失预测总量（t）</w:t>
            </w:r>
          </w:p>
        </w:tc>
        <w:tc>
          <w:tcPr>
            <w:tcW w:w="207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856</w:t>
            </w:r>
          </w:p>
        </w:tc>
        <w:tc>
          <w:tcPr>
            <w:tcW w:w="256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新增水土流失量(t)</w:t>
            </w: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787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24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水土流失防治标准执行等级</w:t>
            </w:r>
          </w:p>
        </w:tc>
        <w:tc>
          <w:tcPr>
            <w:tcW w:w="677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西南紫色土区建设类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一级标准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防治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目标</w:t>
            </w:r>
          </w:p>
        </w:tc>
        <w:tc>
          <w:tcPr>
            <w:tcW w:w="18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水土流失治理度（%）</w:t>
            </w:r>
          </w:p>
        </w:tc>
        <w:tc>
          <w:tcPr>
            <w:tcW w:w="2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97</w:t>
            </w: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土壤流失控制比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渣土防护率（%）</w:t>
            </w:r>
          </w:p>
        </w:tc>
        <w:tc>
          <w:tcPr>
            <w:tcW w:w="2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92</w:t>
            </w: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表土保护率(%)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林草植被恢复率（%）</w:t>
            </w:r>
          </w:p>
        </w:tc>
        <w:tc>
          <w:tcPr>
            <w:tcW w:w="2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97</w:t>
            </w:r>
          </w:p>
        </w:tc>
        <w:tc>
          <w:tcPr>
            <w:tcW w:w="3115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林草覆盖率(%)</w:t>
            </w:r>
          </w:p>
        </w:tc>
        <w:tc>
          <w:tcPr>
            <w:tcW w:w="132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防治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措施及工程量</w:t>
            </w:r>
          </w:p>
        </w:tc>
        <w:tc>
          <w:tcPr>
            <w:tcW w:w="18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防治分区</w:t>
            </w:r>
          </w:p>
        </w:tc>
        <w:tc>
          <w:tcPr>
            <w:tcW w:w="2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工程措施</w:t>
            </w:r>
          </w:p>
        </w:tc>
        <w:tc>
          <w:tcPr>
            <w:tcW w:w="230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植物措施</w:t>
            </w: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堤防护岸工程防治区</w:t>
            </w:r>
          </w:p>
        </w:tc>
        <w:tc>
          <w:tcPr>
            <w:tcW w:w="2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主体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设计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彩色透水混凝土铺装19377.9m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生态砖14260m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方案新增：表土剥离0.73万m³，表土回覆0.52万m³</w:t>
            </w:r>
          </w:p>
        </w:tc>
        <w:tc>
          <w:tcPr>
            <w:tcW w:w="230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主体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设计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C25钢筋砼框格植草护坡584m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，三维水土保护毯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护坡478m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种植再力花880m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种植黄菖蒲1065m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种植水生常绿鸢尾1035m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生态绿化护坡22232m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方案新增：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彩条布覆盖7900m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河道疏浚工程防治区</w:t>
            </w:r>
          </w:p>
        </w:tc>
        <w:tc>
          <w:tcPr>
            <w:tcW w:w="2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230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污水管网工程防治区</w:t>
            </w:r>
          </w:p>
        </w:tc>
        <w:tc>
          <w:tcPr>
            <w:tcW w:w="2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方案新增：表土剥离0.07万m³，土地整治34900m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，表土回覆0.27万m³</w:t>
            </w:r>
          </w:p>
        </w:tc>
        <w:tc>
          <w:tcPr>
            <w:tcW w:w="230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方案新增：撒播草籽0.10hm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方案新增：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彩条布覆盖3100m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施工生产生活防治区</w:t>
            </w:r>
          </w:p>
        </w:tc>
        <w:tc>
          <w:tcPr>
            <w:tcW w:w="2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方案新增：土地整治200m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，表土回覆0.01万m³</w:t>
            </w:r>
          </w:p>
        </w:tc>
        <w:tc>
          <w:tcPr>
            <w:tcW w:w="230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vertAlign w:val="superscript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方案新增：撒播草籽0.02hm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方案新增：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临时排水沟120m，临时沉沙池2个，彩条布覆盖300m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临时堆料场防治区</w:t>
            </w:r>
          </w:p>
        </w:tc>
        <w:tc>
          <w:tcPr>
            <w:tcW w:w="2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方案新增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土地整治300m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30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vertAlign w:val="superscript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  <w:t>方案新增：撒播草籽0.02hm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方案新增：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彩条布铺垫/覆盖800m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干化场防治区</w:t>
            </w:r>
          </w:p>
        </w:tc>
        <w:tc>
          <w:tcPr>
            <w:tcW w:w="2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方案新增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土地整治3400m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30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方案新增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撒播草籽0.34hm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方案新增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编织土袋挡墙350m，临时排水沟436m，临时沉沙池4个，彩条布铺垫/覆盖5100m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表土堆放场防治区</w:t>
            </w:r>
          </w:p>
        </w:tc>
        <w:tc>
          <w:tcPr>
            <w:tcW w:w="2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方案新增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土地整治900m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30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方案新增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撒播草籽0.09hm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方案新增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编织土袋挡墙160m，临时排水沟250m，临时沉沙池3个，彩条布铺垫/覆盖5200m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vertAlign w:val="superscript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6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8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投资（万元）</w:t>
            </w:r>
          </w:p>
        </w:tc>
        <w:tc>
          <w:tcPr>
            <w:tcW w:w="2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主体设计：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293.05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方案新增：35.67</w:t>
            </w:r>
          </w:p>
        </w:tc>
        <w:tc>
          <w:tcPr>
            <w:tcW w:w="230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主体设计：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79.72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方案新增：0.40</w:t>
            </w: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主体设计：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方案新增：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54.41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24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水土保持总投资（万元）</w:t>
            </w:r>
          </w:p>
        </w:tc>
        <w:tc>
          <w:tcPr>
            <w:tcW w:w="2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557.48（主体设计372.77，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方案新增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184.71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230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独立费用（万元）</w:t>
            </w:r>
          </w:p>
        </w:tc>
        <w:tc>
          <w:tcPr>
            <w:tcW w:w="21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36.54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24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监理费（万元）</w:t>
            </w:r>
          </w:p>
        </w:tc>
        <w:tc>
          <w:tcPr>
            <w:tcW w:w="233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3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监测费（万元）</w:t>
            </w:r>
          </w:p>
        </w:tc>
        <w:tc>
          <w:tcPr>
            <w:tcW w:w="9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19.18</w:t>
            </w: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补偿费（元）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297360.00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6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方案编制单位</w:t>
            </w:r>
          </w:p>
        </w:tc>
        <w:tc>
          <w:tcPr>
            <w:tcW w:w="31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重庆市道宽环保工程有限责任公司</w:t>
            </w:r>
          </w:p>
        </w:tc>
        <w:tc>
          <w:tcPr>
            <w:tcW w:w="16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建设单位</w:t>
            </w:r>
          </w:p>
        </w:tc>
        <w:tc>
          <w:tcPr>
            <w:tcW w:w="274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重庆山水都市旅游开发有限公司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6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31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91500119MA6099E35W</w:t>
            </w:r>
          </w:p>
        </w:tc>
        <w:tc>
          <w:tcPr>
            <w:tcW w:w="16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统一社会信用代码</w:t>
            </w:r>
          </w:p>
        </w:tc>
        <w:tc>
          <w:tcPr>
            <w:tcW w:w="274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915001126608761985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6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法定代表人</w:t>
            </w:r>
          </w:p>
        </w:tc>
        <w:tc>
          <w:tcPr>
            <w:tcW w:w="31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9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方远琴</w:t>
            </w:r>
          </w:p>
        </w:tc>
        <w:tc>
          <w:tcPr>
            <w:tcW w:w="16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法定代表人</w:t>
            </w:r>
          </w:p>
        </w:tc>
        <w:tc>
          <w:tcPr>
            <w:tcW w:w="274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陈永刚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6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地址</w:t>
            </w:r>
          </w:p>
        </w:tc>
        <w:tc>
          <w:tcPr>
            <w:tcW w:w="31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重庆市南川区东城街道渝南大道2号金佛尚城6栋1单元4-4</w:t>
            </w:r>
          </w:p>
        </w:tc>
        <w:tc>
          <w:tcPr>
            <w:tcW w:w="16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地址</w:t>
            </w:r>
          </w:p>
        </w:tc>
        <w:tc>
          <w:tcPr>
            <w:tcW w:w="274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重庆市南川区南城街道办事处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三汇路93号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6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邮编</w:t>
            </w:r>
          </w:p>
        </w:tc>
        <w:tc>
          <w:tcPr>
            <w:tcW w:w="31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9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408400</w:t>
            </w:r>
          </w:p>
        </w:tc>
        <w:tc>
          <w:tcPr>
            <w:tcW w:w="16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邮编</w:t>
            </w:r>
          </w:p>
        </w:tc>
        <w:tc>
          <w:tcPr>
            <w:tcW w:w="274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408499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6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联系人及电话</w:t>
            </w:r>
          </w:p>
        </w:tc>
        <w:tc>
          <w:tcPr>
            <w:tcW w:w="31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w w:val="9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周熊建/18523651555</w:t>
            </w:r>
          </w:p>
        </w:tc>
        <w:tc>
          <w:tcPr>
            <w:tcW w:w="16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联系人及电话</w:t>
            </w:r>
          </w:p>
        </w:tc>
        <w:tc>
          <w:tcPr>
            <w:tcW w:w="274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张部长/15823697725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  <w:jc w:val="center"/>
        </w:trPr>
        <w:tc>
          <w:tcPr>
            <w:tcW w:w="168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电子信箱</w:t>
            </w:r>
          </w:p>
        </w:tc>
        <w:tc>
          <w:tcPr>
            <w:tcW w:w="311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ind w:left="-63" w:leftChars="-30" w:right="-63" w:rightChars="-30" w:firstLine="0" w:firstLineChars="0"/>
              <w:rPr>
                <w:rFonts w:hint="default" w:ascii="Times New Roman" w:hAnsi="Times New Roman" w:eastAsia="仿宋_GB2312" w:cs="Times New Roman"/>
                <w:color w:val="auto"/>
                <w:w w:val="95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5"/>
                <w:kern w:val="0"/>
                <w:sz w:val="18"/>
                <w:szCs w:val="18"/>
                <w:lang w:val="en-US" w:eastAsia="zh-CN" w:bidi="ar-SA"/>
              </w:rPr>
              <w:t>/</w:t>
            </w:r>
          </w:p>
        </w:tc>
        <w:tc>
          <w:tcPr>
            <w:tcW w:w="169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电子信箱</w:t>
            </w:r>
          </w:p>
        </w:tc>
        <w:tc>
          <w:tcPr>
            <w:tcW w:w="274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7C0F5D"/>
    <w:rsid w:val="217C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center"/>
    </w:pPr>
    <w:rPr>
      <w:rFonts w:ascii="宋体" w:hAnsi="宋体"/>
      <w:sz w:val="44"/>
    </w:rPr>
  </w:style>
  <w:style w:type="paragraph" w:customStyle="1" w:styleId="5">
    <w:name w:val="表格文本"/>
    <w:basedOn w:val="6"/>
    <w:qFormat/>
    <w:uiPriority w:val="0"/>
    <w:pPr>
      <w:adjustRightInd w:val="0"/>
      <w:snapToGrid w:val="0"/>
      <w:jc w:val="center"/>
    </w:pPr>
    <w:rPr>
      <w:color w:val="000000"/>
      <w:szCs w:val="21"/>
      <w:lang w:val="zh-CN"/>
    </w:rPr>
  </w:style>
  <w:style w:type="paragraph" w:customStyle="1" w:styleId="6">
    <w:name w:val="正文文字110"/>
    <w:basedOn w:val="1"/>
    <w:qFormat/>
    <w:uiPriority w:val="0"/>
    <w:rPr>
      <w:rFonts w:ascii="Calibri" w:hAnsi="Calibri" w:cs="宋体"/>
      <w:szCs w:val="22"/>
    </w:rPr>
  </w:style>
  <w:style w:type="paragraph" w:customStyle="1" w:styleId="7">
    <w:name w:val="表内文字（居中）-wd"/>
    <w:qFormat/>
    <w:uiPriority w:val="0"/>
    <w:pPr>
      <w:snapToGrid w:val="0"/>
    </w:pPr>
    <w:rPr>
      <w:rFonts w:ascii="宋体" w:hAnsi="宋体" w:eastAsia="宋体" w:cs="Times New Roman"/>
      <w:snapToGrid w:val="0"/>
      <w:sz w:val="21"/>
      <w:szCs w:val="28"/>
      <w:lang w:val="en-US" w:eastAsia="zh-CN" w:bidi="ar-SA"/>
    </w:rPr>
  </w:style>
  <w:style w:type="paragraph" w:customStyle="1" w:styleId="8">
    <w:name w:val="表格123"/>
    <w:basedOn w:val="9"/>
    <w:qFormat/>
    <w:uiPriority w:val="0"/>
    <w:pPr>
      <w:widowControl w:val="0"/>
      <w:jc w:val="center"/>
    </w:pPr>
    <w:rPr>
      <w:rFonts w:ascii="Times New Roman" w:hAnsi="Times New Roman" w:eastAsia="Times New Roman"/>
      <w:sz w:val="21"/>
      <w:szCs w:val="30"/>
      <w:lang w:val="zh-CN"/>
    </w:rPr>
  </w:style>
  <w:style w:type="paragraph" w:styleId="9">
    <w:name w:val="No Spacing"/>
    <w:qFormat/>
    <w:uiPriority w:val="99"/>
    <w:rPr>
      <w:rFonts w:ascii="Calibri" w:hAnsi="Calibri" w:eastAsia="宋体" w:cs="Times New Roman"/>
      <w:sz w:val="22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2025-04-30T02:00:00Z</dcterms:created>
  <dc:creator>Administrator</dc:creator>
  <cp:lastModifiedBy>Administrator</cp:lastModifiedBy>
  <dcterms:modified xsi:type="dcterms:W3CDTF">2025-04-30T02:01:35Z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