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重庆南川南城220千伏输变电工程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水土保持方案特性表</w:t>
      </w:r>
      <w:bookmarkStart w:id="0" w:name="_GoBack"/>
      <w:bookmarkEnd w:id="0"/>
    </w:p>
    <w:tbl>
      <w:tblPr>
        <w:tblStyle w:val="5"/>
        <w:tblW w:w="499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"/>
        <w:gridCol w:w="522"/>
        <w:gridCol w:w="62"/>
        <w:gridCol w:w="441"/>
        <w:gridCol w:w="631"/>
        <w:gridCol w:w="984"/>
        <w:gridCol w:w="1002"/>
        <w:gridCol w:w="747"/>
        <w:gridCol w:w="790"/>
        <w:gridCol w:w="746"/>
        <w:gridCol w:w="943"/>
        <w:gridCol w:w="142"/>
        <w:gridCol w:w="1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53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项目名称</w:t>
            </w:r>
          </w:p>
        </w:tc>
        <w:tc>
          <w:tcPr>
            <w:tcW w:w="1796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重庆南川南城220千伏输变电工程</w:t>
            </w:r>
          </w:p>
        </w:tc>
        <w:tc>
          <w:tcPr>
            <w:tcW w:w="1341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流域管理机构</w:t>
            </w:r>
          </w:p>
        </w:tc>
        <w:tc>
          <w:tcPr>
            <w:tcW w:w="1325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长江水利委员会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3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涉及市</w:t>
            </w:r>
          </w:p>
        </w:tc>
        <w:tc>
          <w:tcPr>
            <w:tcW w:w="63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重庆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市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涉及地市或个数</w:t>
            </w:r>
          </w:p>
        </w:tc>
        <w:tc>
          <w:tcPr>
            <w:tcW w:w="43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涉及区或个数</w:t>
            </w:r>
          </w:p>
        </w:tc>
        <w:tc>
          <w:tcPr>
            <w:tcW w:w="1325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南川区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37" w:type="pct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项目规模</w:t>
            </w:r>
          </w:p>
        </w:tc>
        <w:tc>
          <w:tcPr>
            <w:tcW w:w="2234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①新建南城220kV变电站一座，容量2×180MVA；②新建开断万盛—宏墙双回220kV线路π接入南城变电站线路工程，新建线路路径长度约2×4.3km，双回线路。</w:t>
            </w:r>
          </w:p>
        </w:tc>
        <w:tc>
          <w:tcPr>
            <w:tcW w:w="464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总投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（万元）</w:t>
            </w:r>
          </w:p>
        </w:tc>
        <w:tc>
          <w:tcPr>
            <w:tcW w:w="43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19778</w:t>
            </w:r>
          </w:p>
        </w:tc>
        <w:tc>
          <w:tcPr>
            <w:tcW w:w="637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土建投资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（万元）</w:t>
            </w:r>
          </w:p>
        </w:tc>
        <w:tc>
          <w:tcPr>
            <w:tcW w:w="68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15309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537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动工时间</w:t>
            </w:r>
          </w:p>
        </w:tc>
        <w:tc>
          <w:tcPr>
            <w:tcW w:w="63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月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完工时间</w:t>
            </w:r>
          </w:p>
        </w:tc>
        <w:tc>
          <w:tcPr>
            <w:tcW w:w="90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月</w:t>
            </w:r>
          </w:p>
        </w:tc>
        <w:tc>
          <w:tcPr>
            <w:tcW w:w="107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设计水平年</w:t>
            </w:r>
          </w:p>
        </w:tc>
        <w:tc>
          <w:tcPr>
            <w:tcW w:w="68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776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工程占地（hm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39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3.39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永久占地（hm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90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1.78</w:t>
            </w:r>
          </w:p>
        </w:tc>
        <w:tc>
          <w:tcPr>
            <w:tcW w:w="107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临时占地（hm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68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167" w:type="pct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土石方量（万m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挖方</w:t>
            </w:r>
          </w:p>
        </w:tc>
        <w:tc>
          <w:tcPr>
            <w:tcW w:w="90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填方</w:t>
            </w:r>
          </w:p>
        </w:tc>
        <w:tc>
          <w:tcPr>
            <w:tcW w:w="107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综合利用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余方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1167" w:type="pct"/>
            <w:gridSpan w:val="5"/>
            <w:vMerge w:val="continue"/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4.45</w:t>
            </w:r>
          </w:p>
        </w:tc>
        <w:tc>
          <w:tcPr>
            <w:tcW w:w="902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2.72</w:t>
            </w:r>
          </w:p>
        </w:tc>
        <w:tc>
          <w:tcPr>
            <w:tcW w:w="107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1167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重点防治区名称</w:t>
            </w:r>
          </w:p>
        </w:tc>
        <w:tc>
          <w:tcPr>
            <w:tcW w:w="3832" w:type="pct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乌江赤水河上中游国家级水土流失重点治理区、重庆市水土流失重点预防区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地貌类型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低山地貌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水土保持区划</w:t>
            </w:r>
          </w:p>
        </w:tc>
        <w:tc>
          <w:tcPr>
            <w:tcW w:w="132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西南紫色土区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土壤侵蚀类型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水力侵蚀</w:t>
            </w:r>
          </w:p>
        </w:tc>
        <w:tc>
          <w:tcPr>
            <w:tcW w:w="134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土壤侵蚀强度</w:t>
            </w:r>
          </w:p>
        </w:tc>
        <w:tc>
          <w:tcPr>
            <w:tcW w:w="132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微度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防治责任范围面积（hm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165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3.39</w:t>
            </w:r>
          </w:p>
        </w:tc>
        <w:tc>
          <w:tcPr>
            <w:tcW w:w="1978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容许土壤流失量[t/(km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·a)]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土壤流失预测总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18"/>
                <w:szCs w:val="18"/>
                <w:highlight w:val="none"/>
              </w:rPr>
              <w:t>量（t）</w:t>
            </w:r>
          </w:p>
        </w:tc>
        <w:tc>
          <w:tcPr>
            <w:tcW w:w="1165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978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新增土壤流失量（t）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水土流失防治标准执行等级</w:t>
            </w:r>
          </w:p>
        </w:tc>
        <w:tc>
          <w:tcPr>
            <w:tcW w:w="3832" w:type="pct"/>
            <w:gridSpan w:val="8"/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西南紫色土区建设类项目一级标准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vMerge w:val="restart"/>
            <w:noWrap w:val="0"/>
            <w:vAlign w:val="center"/>
          </w:tcPr>
          <w:p>
            <w:pPr>
              <w:spacing w:line="240" w:lineRule="atLeast"/>
              <w:ind w:firstLine="540" w:firstLineChars="3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防治指标</w:t>
            </w:r>
          </w:p>
        </w:tc>
        <w:tc>
          <w:tcPr>
            <w:tcW w:w="116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水土流失治理度(%)</w:t>
            </w:r>
          </w:p>
        </w:tc>
        <w:tc>
          <w:tcPr>
            <w:tcW w:w="43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97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539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土壤流失控制比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土防护率(%)</w:t>
            </w:r>
          </w:p>
        </w:tc>
        <w:tc>
          <w:tcPr>
            <w:tcW w:w="43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92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539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表土保护率（%）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林草植被恢复率(%)</w:t>
            </w:r>
          </w:p>
        </w:tc>
        <w:tc>
          <w:tcPr>
            <w:tcW w:w="43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97</w:t>
            </w:r>
          </w:p>
        </w:tc>
        <w:tc>
          <w:tcPr>
            <w:tcW w:w="1539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林草覆盖率（%）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19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防治措施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及工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程量</w:t>
            </w:r>
          </w:p>
        </w:tc>
        <w:tc>
          <w:tcPr>
            <w:tcW w:w="972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防治分区</w:t>
            </w:r>
          </w:p>
        </w:tc>
        <w:tc>
          <w:tcPr>
            <w:tcW w:w="16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工程措施</w:t>
            </w:r>
          </w:p>
        </w:tc>
        <w:tc>
          <w:tcPr>
            <w:tcW w:w="902" w:type="pct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植物措施</w:t>
            </w:r>
          </w:p>
        </w:tc>
        <w:tc>
          <w:tcPr>
            <w:tcW w:w="1325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临时措施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一级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160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902" w:type="pct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325" w:type="pct"/>
            <w:gridSpan w:val="3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06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变电站工程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防治区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站场区</w:t>
            </w:r>
          </w:p>
        </w:tc>
        <w:tc>
          <w:tcPr>
            <w:tcW w:w="160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主体设计：雨水管网810m，梯形排水沟（50×50cm）117.9m，梯形截水沟（60×70cm）127.2m，梯形截水沟（80×80cm）118.5m，矩形排水沟（30×30cm）306.6m，矩形排水沟（50×50cm）150.6m，骨架植物护坡124.3m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，格构式锚杆护坡292.4m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方案新增：表土剥离0.27万m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，表土回覆0.03万m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，土地整治0.11hm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主体设计：喷播植草5027.6m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方案新增：撒播草籽0.24hm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1325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方案新增：临时拦挡127m，临时排水沟212m，临时沉沙池1座，临时覆盖5000m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施工生活区</w:t>
            </w:r>
          </w:p>
        </w:tc>
        <w:tc>
          <w:tcPr>
            <w:tcW w:w="160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主体设计：梯形排水沟（40×40cm）130m，沉沙池1座，土地整治0.08hm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方案新增：表土剥离0.02万m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，表土回覆0.04万m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902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主体设计：栽植灌木0.08hm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，撒播草籽0.08hm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1325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方案新增：临时覆盖500m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表土堆放场区</w:t>
            </w:r>
          </w:p>
        </w:tc>
        <w:tc>
          <w:tcPr>
            <w:tcW w:w="16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方案新增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：土地整治0.15hm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32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方案新增：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临时拦挡140m，临时排水沟148m，临时沉沙池1座，临时覆盖2000m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0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线路工程防治区</w:t>
            </w:r>
          </w:p>
        </w:tc>
        <w:tc>
          <w:tcPr>
            <w:tcW w:w="66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塔基工程区</w:t>
            </w:r>
          </w:p>
        </w:tc>
        <w:tc>
          <w:tcPr>
            <w:tcW w:w="16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主体设计：排水沟60m，土地整治0.76hm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方案新增：表土剥离0.05万m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，表土回覆0.05万m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，土地整治0.24hm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主体设计：栽植灌木0.69hm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，撒播草籽0.76hm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方案新增：撒播种草0.24hm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  <w:tc>
          <w:tcPr>
            <w:tcW w:w="132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方案新增：临时拦挡470m，临时覆盖2000m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" w:type="pct"/>
            <w:vMerge w:val="continue"/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66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施工便道区</w:t>
            </w:r>
          </w:p>
        </w:tc>
        <w:tc>
          <w:tcPr>
            <w:tcW w:w="16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主体设计：土地整治0.21hm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方案新增：表土剥离0.02万m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，表土回覆0.02万m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主体设计：栽植灌木0.13hm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，撒播种草0.21hm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132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方案新增：表临时拦挡137m，临时排水沟100m，临时沉沙池2座，临时覆盖200m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306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666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牵张场区</w:t>
            </w:r>
          </w:p>
        </w:tc>
        <w:tc>
          <w:tcPr>
            <w:tcW w:w="16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主体设计：土地整治0.36hm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方案新增：表土回覆0.10万m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主体设计：撒播种草0.36hm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。</w:t>
            </w:r>
          </w:p>
        </w:tc>
        <w:tc>
          <w:tcPr>
            <w:tcW w:w="132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方案新增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：临时排水沟199m，临时沉沙池2座，临时铺垫3000m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7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投资（万元）</w:t>
            </w:r>
          </w:p>
        </w:tc>
        <w:tc>
          <w:tcPr>
            <w:tcW w:w="16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157.45（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主体已列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146.71，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方案新增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10.74）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14.98（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主体已列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14.64，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方案新增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0.34）</w:t>
            </w:r>
          </w:p>
        </w:tc>
        <w:tc>
          <w:tcPr>
            <w:tcW w:w="132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28.70（方案新增28.70）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167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水土保持总投资（万元）</w:t>
            </w:r>
          </w:p>
        </w:tc>
        <w:tc>
          <w:tcPr>
            <w:tcW w:w="160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292.38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（方案新增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131.03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独立费用（万元)</w:t>
            </w:r>
          </w:p>
        </w:tc>
        <w:tc>
          <w:tcPr>
            <w:tcW w:w="132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68.80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监理费（万元）</w:t>
            </w:r>
          </w:p>
        </w:tc>
        <w:tc>
          <w:tcPr>
            <w:tcW w:w="53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7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监测费（万元）</w:t>
            </w:r>
          </w:p>
        </w:tc>
        <w:tc>
          <w:tcPr>
            <w:tcW w:w="464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10.55</w:t>
            </w:r>
          </w:p>
        </w:tc>
        <w:tc>
          <w:tcPr>
            <w:tcW w:w="887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</w:rPr>
              <w:t>补偿费（万元）</w:t>
            </w:r>
          </w:p>
        </w:tc>
        <w:tc>
          <w:tcPr>
            <w:tcW w:w="87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4.746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16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方案编制单位</w:t>
            </w:r>
          </w:p>
        </w:tc>
        <w:tc>
          <w:tcPr>
            <w:tcW w:w="116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重庆信博水利工程设计有限公司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建设单位</w:t>
            </w:r>
          </w:p>
        </w:tc>
        <w:tc>
          <w:tcPr>
            <w:tcW w:w="1763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国网重庆市电力公司南川供电分公司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法定代表人</w:t>
            </w:r>
          </w:p>
        </w:tc>
        <w:tc>
          <w:tcPr>
            <w:tcW w:w="116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陈玉林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法定代表人</w:t>
            </w:r>
          </w:p>
        </w:tc>
        <w:tc>
          <w:tcPr>
            <w:tcW w:w="1763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刘兵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16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地址</w:t>
            </w:r>
          </w:p>
        </w:tc>
        <w:tc>
          <w:tcPr>
            <w:tcW w:w="116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渝北区龙溪街道红锦大道518号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地址</w:t>
            </w:r>
          </w:p>
        </w:tc>
        <w:tc>
          <w:tcPr>
            <w:tcW w:w="1763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重庆市南川区东城街道办事处河滨北路16号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邮编</w:t>
            </w:r>
          </w:p>
        </w:tc>
        <w:tc>
          <w:tcPr>
            <w:tcW w:w="116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1120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邮编</w:t>
            </w:r>
          </w:p>
        </w:tc>
        <w:tc>
          <w:tcPr>
            <w:tcW w:w="1763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8400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联系人及电话</w:t>
            </w:r>
          </w:p>
        </w:tc>
        <w:tc>
          <w:tcPr>
            <w:tcW w:w="116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曾云峰/13647632226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联系人及电话</w:t>
            </w:r>
          </w:p>
        </w:tc>
        <w:tc>
          <w:tcPr>
            <w:tcW w:w="1763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邓芳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/ 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594548138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传真</w:t>
            </w:r>
          </w:p>
        </w:tc>
        <w:tc>
          <w:tcPr>
            <w:tcW w:w="1165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传真</w:t>
            </w:r>
          </w:p>
        </w:tc>
        <w:tc>
          <w:tcPr>
            <w:tcW w:w="1763" w:type="pct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167" w:type="pct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电子信箱</w:t>
            </w:r>
          </w:p>
        </w:tc>
        <w:tc>
          <w:tcPr>
            <w:tcW w:w="1165" w:type="pct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411521650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@qq.com</w:t>
            </w:r>
          </w:p>
        </w:tc>
        <w:tc>
          <w:tcPr>
            <w:tcW w:w="902" w:type="pct"/>
            <w:gridSpan w:val="2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电子信箱</w:t>
            </w:r>
          </w:p>
        </w:tc>
        <w:tc>
          <w:tcPr>
            <w:tcW w:w="1763" w:type="pct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/</w:t>
            </w:r>
          </w:p>
        </w:tc>
      </w:tr>
    </w:tbl>
    <w:p>
      <w:pPr>
        <w:spacing w:line="4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C607F"/>
    <w:rsid w:val="1C4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jc w:val="center"/>
    </w:pPr>
    <w:rPr>
      <w:rFonts w:ascii="宋体" w:hAnsi="宋体"/>
      <w:sz w:val="44"/>
    </w:rPr>
  </w:style>
  <w:style w:type="paragraph" w:styleId="3">
    <w:name w:val="Normal Indent"/>
    <w:basedOn w:val="1"/>
    <w:next w:val="1"/>
    <w:qFormat/>
    <w:uiPriority w:val="0"/>
    <w:pPr>
      <w:spacing w:line="360" w:lineRule="auto"/>
      <w:ind w:firstLine="420"/>
    </w:pPr>
    <w:rPr>
      <w:sz w:val="24"/>
      <w:szCs w:val="20"/>
    </w:rPr>
  </w:style>
  <w:style w:type="paragraph" w:styleId="4">
    <w:name w:val="Body Text First Indent"/>
    <w:basedOn w:val="2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customStyle="1" w:styleId="7">
    <w:name w:val="正文1"/>
    <w:basedOn w:val="1"/>
    <w:qFormat/>
    <w:uiPriority w:val="0"/>
    <w:pPr>
      <w:spacing w:line="460" w:lineRule="atLeast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2025-04-30T02:07:00Z</dcterms:created>
  <dc:creator>Administrator</dc:creator>
  <cp:lastModifiedBy>Administrator</cp:lastModifiedBy>
  <dcterms:modified xsi:type="dcterms:W3CDTF">2025-04-30T02:07:47Z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