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南川区东方昱宸房地产开发项目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水土保持方案特性表</w:t>
      </w:r>
    </w:p>
    <w:bookmarkEnd w:id="0"/>
    <w:tbl>
      <w:tblPr>
        <w:tblStyle w:val="3"/>
        <w:tblW w:w="90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385"/>
        <w:gridCol w:w="709"/>
        <w:gridCol w:w="731"/>
        <w:gridCol w:w="1024"/>
        <w:gridCol w:w="675"/>
        <w:gridCol w:w="1155"/>
        <w:gridCol w:w="1155"/>
        <w:gridCol w:w="1500"/>
        <w:gridCol w:w="1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项目名称</w:t>
            </w:r>
          </w:p>
        </w:tc>
        <w:tc>
          <w:tcPr>
            <w:tcW w:w="31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南川区东方昱宸房地产开发项目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流域管理机构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水利部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长江水利委员会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涉及省市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重庆市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涉及地市或个数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涉及县或个数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南川区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0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项目规模</w:t>
            </w:r>
          </w:p>
        </w:tc>
        <w:tc>
          <w:tcPr>
            <w:tcW w:w="31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本项目建设用地面积14745m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，总建筑面积33091.6m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（地上建筑面积22256.8m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，地下建筑面积10834.8m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），绿化面积5205.85m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，绿地率35.31%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总投资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（万元）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14500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土建投资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（万元）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0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动工时间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月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完工时间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月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设计水平年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工程占地（hm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永久占地（hm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1.47</w:t>
            </w: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临时占地（hm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44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土石方量（万m³）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挖方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填方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借方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余（弃）方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44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9.45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5.18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4.27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重点防治区名称</w:t>
            </w:r>
          </w:p>
        </w:tc>
        <w:tc>
          <w:tcPr>
            <w:tcW w:w="66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乌江赤水河上中游国家级水土流失重点治理区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4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地貌类型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构造剥蚀丘陵地貌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水土保持区划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西南紫色土区（四川盆地及周围山地丘陵区）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土壤侵蚀类型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水力侵蚀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土壤侵蚀强度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防治责任范围面积（hm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2.12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容许土壤流失量[t/（km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.a）]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土壤流失预测总量（t）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149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新增水土流失量(t)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水土流失防治标准执行等级</w:t>
            </w:r>
          </w:p>
        </w:tc>
        <w:tc>
          <w:tcPr>
            <w:tcW w:w="662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西南紫色土区建设类一级标准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防治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目标</w:t>
            </w:r>
          </w:p>
        </w:tc>
        <w:tc>
          <w:tcPr>
            <w:tcW w:w="18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水土流失治理度（%）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97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土壤流失控制比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渣土防护率（%）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表土保护率(%)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林草植被恢复率（%）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97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林草覆盖率(%)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6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防治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措施及工程量</w:t>
            </w:r>
          </w:p>
        </w:tc>
        <w:tc>
          <w:tcPr>
            <w:tcW w:w="18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防治分区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工程措施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植物措施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临时措施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工程防治区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主体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设计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雨水管网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672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m，透水砖铺装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2507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主体设计：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景观绿化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0.52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主体设计：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密目网遮盖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2850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临时排水沟300m，临时沉沙池1座，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防雨布覆盖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施工生产生活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防治区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土地整治0.40hm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撒播草籽0.40hm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售楼部防治区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主体设计：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景观绿化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0.13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/>
              </w:rPr>
              <w:t>h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主体设计：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临时排水沟56m，临时排水管50m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投资（万元）</w:t>
            </w:r>
          </w:p>
        </w:tc>
        <w:tc>
          <w:tcPr>
            <w:tcW w:w="1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主体设计：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49.24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1.58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主体设计：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93.99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主体设计：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1.06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方案新增：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7.57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水土保持总投资（万元）</w:t>
            </w:r>
          </w:p>
        </w:tc>
        <w:tc>
          <w:tcPr>
            <w:tcW w:w="400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178.33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（主体设计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144.29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方案新增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34.04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独立费用（万元）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7.98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244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监理费（万元）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监测费（万元）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11.93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补偿费（元）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29731.80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7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方案编制单位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重庆归农水利咨询有限公司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建设单位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重庆文沐置业有限公司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7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统一社会信用代码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91500105MA60KALWXE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统一社会信用代码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91500119MA613XMJ09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7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法定代表人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李君华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法定代表人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李潜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7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地址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重庆市江北区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保利香雪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地址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重庆市南川区东城街道办事处东环路132号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7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邮编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400020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邮编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048400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7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联系人及电话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张鑫飞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15310615643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联系人及电话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邹松/13709476907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7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电子信箱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405846742@qq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.com</w:t>
            </w:r>
          </w:p>
        </w:tc>
        <w:tc>
          <w:tcPr>
            <w:tcW w:w="23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电子信箱</w:t>
            </w: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  <w:lang w:val="en-US" w:eastAsia="zh-CN"/>
              </w:rPr>
              <w:t>1373644759@qq.com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45A5"/>
    <w:rsid w:val="1DD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表格文本"/>
    <w:basedOn w:val="6"/>
    <w:qFormat/>
    <w:uiPriority w:val="0"/>
    <w:pPr>
      <w:adjustRightInd w:val="0"/>
      <w:snapToGrid w:val="0"/>
      <w:jc w:val="center"/>
    </w:pPr>
    <w:rPr>
      <w:color w:val="000000"/>
      <w:szCs w:val="21"/>
      <w:lang w:val="zh-CN"/>
    </w:rPr>
  </w:style>
  <w:style w:type="paragraph" w:customStyle="1" w:styleId="6">
    <w:name w:val="正文文字110"/>
    <w:basedOn w:val="1"/>
    <w:qFormat/>
    <w:uiPriority w:val="0"/>
    <w:pPr>
      <w:spacing w:line="460" w:lineRule="exact"/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2025-09-22T02:46:00Z</dcterms:created>
  <dc:creator>Administrator</dc:creator>
  <cp:lastModifiedBy>Administrator</cp:lastModifiedBy>
  <dcterms:modified xsi:type="dcterms:W3CDTF">2025-09-22T02:47:17Z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