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62801">
      <w:pPr>
        <w:jc w:val="center"/>
        <w:rPr>
          <w:sz w:val="30"/>
          <w:szCs w:val="30"/>
        </w:rPr>
      </w:pPr>
      <w:r>
        <w:rPr>
          <w:rFonts w:hint="eastAsia"/>
          <w:sz w:val="30"/>
          <w:szCs w:val="30"/>
        </w:rPr>
        <w:t>南川区大观水厂至白沙段管网延伸工程初步设计报告</w:t>
      </w:r>
    </w:p>
    <w:p w14:paraId="14D71694">
      <w:pPr>
        <w:jc w:val="center"/>
        <w:rPr>
          <w:sz w:val="30"/>
          <w:szCs w:val="30"/>
        </w:rPr>
      </w:pPr>
      <w:r>
        <w:rPr>
          <w:rFonts w:hint="eastAsia"/>
          <w:sz w:val="30"/>
          <w:szCs w:val="30"/>
        </w:rPr>
        <w:t>专家审查意见</w:t>
      </w:r>
    </w:p>
    <w:p w14:paraId="5025EC16">
      <w:pPr>
        <w:spacing w:line="360" w:lineRule="auto"/>
        <w:ind w:firstLine="480" w:firstLineChars="200"/>
        <w:jc w:val="left"/>
        <w:rPr>
          <w:color w:val="auto"/>
          <w:sz w:val="24"/>
          <w:szCs w:val="24"/>
        </w:rPr>
      </w:pPr>
      <w:r>
        <w:rPr>
          <w:rFonts w:hint="eastAsia"/>
          <w:color w:val="auto"/>
          <w:sz w:val="24"/>
          <w:szCs w:val="24"/>
        </w:rPr>
        <w:t>受南川区水利事务中心委托，重庆中泰工程咨询有限公司（以下简称设计单位）编制完成了《南川区大观水厂至白沙段管网延伸工程初步设计报告》（以下简称《初步设计报告》）。2026年6月5日，区水利局组织召开了《初步设计报告》专家评审会，区水利局相关科室、项目业主、设计单位代表和特邀专家参加了会议。会议成立了以唐凌旭同志为组长的专家组。专家们会前详细审阅了有关资料，会上进行了充分讨论，提出了《初步设计报告》修改意见。会后，设计单位根据修改意见对《初步设计报告》进行了修改和完善，并提交了《初步设计报告》（报批稿）。经专家组复核，形成专家评审意见如下：</w:t>
      </w:r>
    </w:p>
    <w:p w14:paraId="13AB3C3D">
      <w:pPr>
        <w:spacing w:line="360" w:lineRule="auto"/>
        <w:ind w:firstLine="480" w:firstLineChars="200"/>
        <w:jc w:val="left"/>
        <w:rPr>
          <w:color w:val="auto"/>
          <w:sz w:val="24"/>
          <w:szCs w:val="24"/>
        </w:rPr>
      </w:pPr>
      <w:r>
        <w:rPr>
          <w:rFonts w:hint="eastAsia"/>
          <w:color w:val="auto"/>
          <w:sz w:val="24"/>
          <w:szCs w:val="24"/>
        </w:rPr>
        <w:t>一、项目基本情况</w:t>
      </w:r>
    </w:p>
    <w:p w14:paraId="6B29AFEB">
      <w:pPr>
        <w:spacing w:line="360" w:lineRule="auto"/>
        <w:ind w:firstLine="480" w:firstLineChars="200"/>
        <w:jc w:val="left"/>
        <w:rPr>
          <w:color w:val="auto"/>
          <w:sz w:val="24"/>
          <w:szCs w:val="24"/>
        </w:rPr>
      </w:pPr>
      <w:r>
        <w:rPr>
          <w:rFonts w:hint="eastAsia"/>
          <w:color w:val="auto"/>
          <w:sz w:val="24"/>
          <w:szCs w:val="24"/>
        </w:rPr>
        <w:t>南川区大观水厂至白沙段管网延伸工程建设地点涉及白沙镇井泉村、分水村、红庙村、大竹村、顺竹村、千里村以及大观镇云雾村1、2社。本项目以土溪水厂—大观水厂—兴隆水厂构成的联网供水系统为水源，通过延伸既有供水管网，解决上述区域2个乡镇共计7个行政村共计8758人的用水需求，其中包含大中型水库移民906人。</w:t>
      </w:r>
    </w:p>
    <w:p w14:paraId="1BBFF5D6">
      <w:pPr>
        <w:spacing w:line="360" w:lineRule="auto"/>
        <w:ind w:firstLine="480" w:firstLineChars="200"/>
        <w:jc w:val="left"/>
        <w:rPr>
          <w:color w:val="auto"/>
          <w:sz w:val="24"/>
          <w:szCs w:val="24"/>
        </w:rPr>
      </w:pPr>
      <w:r>
        <w:rPr>
          <w:rFonts w:hint="eastAsia"/>
          <w:color w:val="auto"/>
          <w:sz w:val="24"/>
          <w:szCs w:val="24"/>
        </w:rPr>
        <w:t>二、工程建设的必要性</w:t>
      </w:r>
    </w:p>
    <w:p w14:paraId="5855E88E">
      <w:pPr>
        <w:spacing w:line="360" w:lineRule="auto"/>
        <w:ind w:firstLine="480" w:firstLineChars="200"/>
        <w:jc w:val="left"/>
        <w:rPr>
          <w:color w:val="auto"/>
          <w:sz w:val="24"/>
          <w:szCs w:val="24"/>
        </w:rPr>
      </w:pPr>
      <w:r>
        <w:rPr>
          <w:rFonts w:hint="eastAsia"/>
          <w:color w:val="auto"/>
          <w:sz w:val="24"/>
          <w:szCs w:val="24"/>
        </w:rPr>
        <w:t>改革开放特别是党的十八大以来，重庆市农村饮水安全工作在克难中奋进、于砥砺中前行，取得显著成效。全市农村饮水安全工程规模持续扩大、覆盖范围不断拓展、保障能力稳步增强，总体实现了从“喝水难”到“有水喝”再到“喝好水”的历史性转变。农村饮水安全事业的持续快速发展，有力改善了全市农村居民饮用水条件，切实提升了群众获得感与生活质量，为全面推进乡村振兴、推动高质量发展注入了持久动力。并根据《南川区城乡供水一体化建设规划》，按照“综合供水资源、优化组织结构、整合城乡供区、消除城乡差距、统一运营管理”的发展理念，构建“同区域、同水源、同水质、同价格、同服务”的城乡供水保障体系，推行区域“大供区、大水厂、大管网”的集中式规模化供水工程建设，优化整合城乡供水，实现集水源、供水的规划计划。本项目以土溪水厂—大观水厂—兴隆水厂构成的联网供水系统为水源，通过延伸既有供水管网，覆盖白沙镇以及大观镇等2个乡镇共计7个行政村（社），实现区域规模化供水全覆盖，有效解决项目区内农村居民及移民用水安全问题，改善群众生活质量，助力南川区农村供水高质量发展。</w:t>
      </w:r>
    </w:p>
    <w:p w14:paraId="088F472F">
      <w:pPr>
        <w:spacing w:line="360" w:lineRule="auto"/>
        <w:ind w:firstLine="480" w:firstLineChars="200"/>
        <w:jc w:val="left"/>
        <w:rPr>
          <w:color w:val="auto"/>
          <w:sz w:val="24"/>
          <w:szCs w:val="24"/>
        </w:rPr>
      </w:pPr>
      <w:r>
        <w:rPr>
          <w:rFonts w:hint="eastAsia"/>
          <w:color w:val="auto"/>
          <w:sz w:val="24"/>
          <w:szCs w:val="24"/>
        </w:rPr>
        <w:t>本项目可系统解决白沙镇以及大观镇等2个乡镇共计7个行政村（社）的农村居民饮水安全问题，实现水资源集约利用和规模化供水全覆盖，切实提升村镇居民用水安全与生活质量，有力促进区域经济社会发展，是推进乡村振兴的重要基础支撑。本项目的建设具有重要的现实意义和紧迫性。</w:t>
      </w:r>
    </w:p>
    <w:p w14:paraId="3FA21307">
      <w:pPr>
        <w:spacing w:line="360" w:lineRule="auto"/>
        <w:ind w:firstLine="480" w:firstLineChars="200"/>
        <w:jc w:val="left"/>
        <w:rPr>
          <w:color w:val="auto"/>
          <w:sz w:val="24"/>
          <w:szCs w:val="24"/>
        </w:rPr>
      </w:pPr>
      <w:r>
        <w:rPr>
          <w:rFonts w:hint="eastAsia"/>
          <w:color w:val="auto"/>
          <w:sz w:val="24"/>
          <w:szCs w:val="24"/>
        </w:rPr>
        <w:t>因此，该项目的建设是十分有必要的。</w:t>
      </w:r>
    </w:p>
    <w:p w14:paraId="7F27D328">
      <w:pPr>
        <w:spacing w:line="360" w:lineRule="auto"/>
        <w:ind w:firstLine="480" w:firstLineChars="200"/>
        <w:jc w:val="left"/>
        <w:rPr>
          <w:color w:val="auto"/>
          <w:sz w:val="24"/>
          <w:szCs w:val="24"/>
        </w:rPr>
      </w:pPr>
      <w:r>
        <w:rPr>
          <w:rFonts w:hint="eastAsia"/>
          <w:color w:val="auto"/>
          <w:sz w:val="24"/>
          <w:szCs w:val="24"/>
        </w:rPr>
        <w:t>三、工程任务及规模</w:t>
      </w:r>
    </w:p>
    <w:p w14:paraId="6F0CB163">
      <w:pPr>
        <w:spacing w:line="360" w:lineRule="auto"/>
        <w:ind w:firstLine="480" w:firstLineChars="200"/>
        <w:jc w:val="left"/>
        <w:rPr>
          <w:color w:val="auto"/>
          <w:sz w:val="24"/>
          <w:szCs w:val="24"/>
        </w:rPr>
      </w:pPr>
      <w:r>
        <w:rPr>
          <w:rFonts w:hint="eastAsia"/>
          <w:color w:val="auto"/>
          <w:sz w:val="24"/>
          <w:szCs w:val="24"/>
        </w:rPr>
        <w:t>（一）工程任务</w:t>
      </w:r>
    </w:p>
    <w:p w14:paraId="68A35EF5">
      <w:pPr>
        <w:spacing w:line="360" w:lineRule="auto"/>
        <w:ind w:firstLine="480" w:firstLineChars="200"/>
        <w:jc w:val="left"/>
        <w:rPr>
          <w:color w:val="auto"/>
          <w:sz w:val="24"/>
          <w:szCs w:val="24"/>
        </w:rPr>
      </w:pPr>
      <w:r>
        <w:rPr>
          <w:rFonts w:hint="eastAsia"/>
          <w:color w:val="auto"/>
          <w:sz w:val="24"/>
          <w:szCs w:val="24"/>
        </w:rPr>
        <w:t>本项目主要任务是改善提升白沙镇井泉村、分水村、红庙村、大竹村、顺竹村、千里村以及大观镇云雾村1、2社等2个乡镇共计7个行政村（社）区域内农村居民用水安全问题，完善项目区农村供水基础设施，改善区域内移民群众生活质量，助力南川区农村供水高质量发展。项目实施后可以保障白沙镇以及大观镇等2个乡镇共计7个行政村（社）的饮水质量，受益人口8758人，其中移民人口906人。</w:t>
      </w:r>
    </w:p>
    <w:p w14:paraId="611ED989">
      <w:pPr>
        <w:spacing w:line="360" w:lineRule="auto"/>
        <w:ind w:firstLine="480" w:firstLineChars="200"/>
        <w:jc w:val="left"/>
        <w:rPr>
          <w:color w:val="auto"/>
          <w:sz w:val="24"/>
          <w:szCs w:val="24"/>
        </w:rPr>
      </w:pPr>
      <w:r>
        <w:rPr>
          <w:rFonts w:hint="eastAsia"/>
          <w:color w:val="auto"/>
          <w:sz w:val="24"/>
          <w:szCs w:val="24"/>
        </w:rPr>
        <w:t>（二）工程等级</w:t>
      </w:r>
    </w:p>
    <w:p w14:paraId="57D7203E">
      <w:pPr>
        <w:spacing w:line="360" w:lineRule="auto"/>
        <w:ind w:firstLine="480" w:firstLineChars="200"/>
        <w:jc w:val="left"/>
        <w:rPr>
          <w:color w:val="auto"/>
          <w:sz w:val="24"/>
          <w:szCs w:val="24"/>
        </w:rPr>
      </w:pPr>
      <w:r>
        <w:rPr>
          <w:rFonts w:hint="eastAsia"/>
          <w:color w:val="auto"/>
          <w:sz w:val="24"/>
          <w:szCs w:val="24"/>
        </w:rPr>
        <w:t>根据《水利水电工程等级划分及洪水标准》4.7.2承担建制镇主要供水任务的供水工程永久性建筑物级别不宜低于4级。确定本工程主要建筑物为4级，次要建筑物为5级。</w:t>
      </w:r>
    </w:p>
    <w:p w14:paraId="1F2818AF">
      <w:pPr>
        <w:spacing w:line="360" w:lineRule="auto"/>
        <w:ind w:firstLine="480" w:firstLineChars="200"/>
        <w:jc w:val="left"/>
        <w:rPr>
          <w:sz w:val="24"/>
          <w:szCs w:val="24"/>
        </w:rPr>
      </w:pPr>
      <w:r>
        <w:rPr>
          <w:rFonts w:hint="eastAsia"/>
          <w:sz w:val="24"/>
          <w:szCs w:val="24"/>
        </w:rPr>
        <w:t>（三）主要建设内容</w:t>
      </w:r>
    </w:p>
    <w:p w14:paraId="7CAC0887">
      <w:pPr>
        <w:spacing w:line="360" w:lineRule="auto"/>
        <w:ind w:firstLine="480" w:firstLineChars="200"/>
        <w:jc w:val="left"/>
        <w:rPr>
          <w:sz w:val="24"/>
          <w:szCs w:val="24"/>
        </w:rPr>
      </w:pPr>
      <w:r>
        <w:rPr>
          <w:rFonts w:hint="eastAsia"/>
          <w:sz w:val="24"/>
          <w:szCs w:val="24"/>
        </w:rPr>
        <w:t>基本同意主要建设内容为：</w:t>
      </w:r>
    </w:p>
    <w:p w14:paraId="247B1BD4">
      <w:pPr>
        <w:keepNext w:val="0"/>
        <w:keepLines w:val="0"/>
        <w:pageBreakBefore w:val="0"/>
        <w:widowControl w:val="0"/>
        <w:numPr>
          <w:ilvl w:val="0"/>
          <w:numId w:val="0"/>
        </w:numPr>
        <w:kinsoku/>
        <w:wordWrap w:val="0"/>
        <w:overflowPunct/>
        <w:topLinePunct/>
        <w:autoSpaceDE/>
        <w:autoSpaceDN/>
        <w:bidi w:val="0"/>
        <w:adjustRightInd/>
        <w:snapToGrid/>
        <w:spacing w:line="560" w:lineRule="exact"/>
        <w:ind w:left="0" w:leftChars="0" w:firstLine="480" w:firstLineChars="200"/>
        <w:textAlignment w:val="auto"/>
        <w:rPr>
          <w:rFonts w:hint="eastAsia"/>
          <w:color w:val="auto"/>
          <w:sz w:val="24"/>
          <w:szCs w:val="24"/>
        </w:rPr>
      </w:pPr>
      <w:r>
        <w:rPr>
          <w:rFonts w:hint="eastAsia"/>
          <w:color w:val="auto"/>
          <w:sz w:val="24"/>
          <w:szCs w:val="24"/>
        </w:rPr>
        <w:t>工程主要建设内容为给水管网及其配套提水设备安装；</w:t>
      </w:r>
      <w:r>
        <w:rPr>
          <w:rFonts w:hint="eastAsia"/>
          <w:color w:val="auto"/>
          <w:sz w:val="24"/>
          <w:szCs w:val="24"/>
          <w:lang w:val="en-US" w:eastAsia="zh-CN"/>
        </w:rPr>
        <w:t>基本同意主要建设内容。新建配水管网162268m，其中DN219*7涂塑钢管10080m、D210*5涂塑钢管949m、D159*4.5涂塑钢管3335m、D133*4涂塑钢管3948m、D108*4.5涂塑钢管1229m、D108*4涂塑钢管1099m、D89*4.5涂塑钢管3577m、D88*4涂塑钢管1869m、D76*4.5涂塑钢管2565m、D57*3.5涂塑钢管4696m、D48*3.5涂塑钢管1978m、D38*3涂塑钢管2394m、DN75PE管1.6Mpa1103m、DN63管1.6Mpa486m、DN50管1.6Mpa4069m、DN40管1.6Mpa3717m、DN32管1.6Mpa8022m、DN25管1.6Mpa13192m、DN20管1.6Mpa34560m、DN20PPR管1.6Mpa59400m</w:t>
      </w:r>
      <w:r>
        <w:rPr>
          <w:rFonts w:hint="eastAsia" w:ascii="Times New Roman" w:hAnsi="Times New Roman" w:eastAsia="方正仿宋_GBK" w:cs="Times New Roman"/>
          <w:sz w:val="32"/>
          <w:szCs w:val="32"/>
          <w:lang w:val="en-US" w:eastAsia="zh-CN"/>
        </w:rPr>
        <w:t>；</w:t>
      </w:r>
      <w:r>
        <w:rPr>
          <w:rFonts w:hint="eastAsia"/>
          <w:color w:val="auto"/>
          <w:sz w:val="24"/>
          <w:szCs w:val="24"/>
          <w:lang w:val="en-US" w:eastAsia="zh-CN"/>
        </w:rPr>
        <w:t>修建一体化集成泵站2座</w:t>
      </w:r>
      <w:r>
        <w:rPr>
          <w:rFonts w:hint="eastAsia"/>
          <w:sz w:val="24"/>
          <w:szCs w:val="24"/>
          <w:lang w:val="en-US" w:eastAsia="zh-CN"/>
        </w:rPr>
        <w:t>（其中流量1m³/h，扬程55m1座，流量3m³/h，扬程65m1座），运行方式均为一用一备；</w:t>
      </w:r>
      <w:r>
        <w:rPr>
          <w:rFonts w:hint="eastAsia"/>
          <w:color w:val="auto"/>
          <w:sz w:val="24"/>
          <w:szCs w:val="24"/>
          <w:lang w:val="en-US" w:eastAsia="zh-CN"/>
        </w:rPr>
        <w:t>高位水箱7个（容积分别为18m</w:t>
      </w:r>
      <w:r>
        <w:rPr>
          <w:rFonts w:hint="eastAsia"/>
          <w:color w:val="auto"/>
          <w:sz w:val="24"/>
          <w:szCs w:val="24"/>
          <w:vertAlign w:val="superscript"/>
          <w:lang w:val="en-US" w:eastAsia="zh-CN"/>
        </w:rPr>
        <w:t>3</w:t>
      </w:r>
      <w:r>
        <w:rPr>
          <w:rFonts w:hint="eastAsia"/>
          <w:color w:val="auto"/>
          <w:sz w:val="24"/>
          <w:szCs w:val="24"/>
          <w:lang w:val="en-US" w:eastAsia="zh-CN"/>
        </w:rPr>
        <w:t>、90m</w:t>
      </w:r>
      <w:r>
        <w:rPr>
          <w:rFonts w:hint="eastAsia"/>
          <w:color w:val="auto"/>
          <w:sz w:val="24"/>
          <w:szCs w:val="24"/>
          <w:vertAlign w:val="superscript"/>
          <w:lang w:val="en-US" w:eastAsia="zh-CN"/>
        </w:rPr>
        <w:t>3</w:t>
      </w:r>
      <w:r>
        <w:rPr>
          <w:rFonts w:hint="eastAsia"/>
          <w:color w:val="auto"/>
          <w:sz w:val="24"/>
          <w:szCs w:val="24"/>
          <w:lang w:val="en-US" w:eastAsia="zh-CN"/>
        </w:rPr>
        <w:t>、245m</w:t>
      </w:r>
      <w:r>
        <w:rPr>
          <w:rFonts w:hint="eastAsia"/>
          <w:color w:val="auto"/>
          <w:sz w:val="24"/>
          <w:szCs w:val="24"/>
          <w:vertAlign w:val="superscript"/>
          <w:lang w:val="en-US" w:eastAsia="zh-CN"/>
        </w:rPr>
        <w:t>3</w:t>
      </w:r>
      <w:r>
        <w:rPr>
          <w:rFonts w:hint="eastAsia"/>
          <w:color w:val="auto"/>
          <w:sz w:val="24"/>
          <w:szCs w:val="24"/>
          <w:lang w:val="en-US" w:eastAsia="zh-CN"/>
        </w:rPr>
        <w:t>、8m</w:t>
      </w:r>
      <w:r>
        <w:rPr>
          <w:rFonts w:hint="eastAsia"/>
          <w:color w:val="auto"/>
          <w:sz w:val="24"/>
          <w:szCs w:val="24"/>
          <w:vertAlign w:val="superscript"/>
          <w:lang w:val="en-US" w:eastAsia="zh-CN"/>
        </w:rPr>
        <w:t>3</w:t>
      </w:r>
      <w:r>
        <w:rPr>
          <w:rFonts w:hint="eastAsia"/>
          <w:color w:val="auto"/>
          <w:sz w:val="24"/>
          <w:szCs w:val="24"/>
          <w:lang w:val="en-US" w:eastAsia="zh-CN"/>
        </w:rPr>
        <w:t>、10m</w:t>
      </w:r>
      <w:r>
        <w:rPr>
          <w:rFonts w:hint="eastAsia"/>
          <w:color w:val="auto"/>
          <w:sz w:val="24"/>
          <w:szCs w:val="24"/>
          <w:vertAlign w:val="superscript"/>
          <w:lang w:val="en-US" w:eastAsia="zh-CN"/>
        </w:rPr>
        <w:t>3</w:t>
      </w:r>
      <w:r>
        <w:rPr>
          <w:rFonts w:hint="eastAsia"/>
          <w:color w:val="auto"/>
          <w:sz w:val="24"/>
          <w:szCs w:val="24"/>
          <w:lang w:val="en-US" w:eastAsia="zh-CN"/>
        </w:rPr>
        <w:t>、4m</w:t>
      </w:r>
      <w:r>
        <w:rPr>
          <w:rFonts w:hint="eastAsia"/>
          <w:color w:val="auto"/>
          <w:sz w:val="24"/>
          <w:szCs w:val="24"/>
          <w:vertAlign w:val="superscript"/>
          <w:lang w:val="en-US" w:eastAsia="zh-CN"/>
        </w:rPr>
        <w:t>3</w:t>
      </w:r>
      <w:r>
        <w:rPr>
          <w:rFonts w:hint="eastAsia"/>
          <w:color w:val="auto"/>
          <w:sz w:val="24"/>
          <w:szCs w:val="24"/>
          <w:lang w:val="en-US" w:eastAsia="zh-CN"/>
        </w:rPr>
        <w:t>、24m</w:t>
      </w:r>
      <w:r>
        <w:rPr>
          <w:rFonts w:hint="eastAsia"/>
          <w:color w:val="auto"/>
          <w:sz w:val="24"/>
          <w:szCs w:val="24"/>
          <w:vertAlign w:val="superscript"/>
          <w:lang w:val="en-US" w:eastAsia="zh-CN"/>
        </w:rPr>
        <w:t>3</w:t>
      </w:r>
      <w:r>
        <w:rPr>
          <w:rFonts w:hint="eastAsia"/>
          <w:color w:val="auto"/>
          <w:sz w:val="24"/>
          <w:szCs w:val="24"/>
          <w:lang w:val="en-US" w:eastAsia="zh-CN"/>
        </w:rPr>
        <w:t>）；减压水箱3个；二氧化氯投加器设备 4 套及其他附属设施。</w:t>
      </w:r>
    </w:p>
    <w:p w14:paraId="7C2342C5">
      <w:pPr>
        <w:spacing w:line="360" w:lineRule="auto"/>
        <w:ind w:firstLine="480" w:firstLineChars="200"/>
        <w:jc w:val="left"/>
        <w:rPr>
          <w:sz w:val="24"/>
          <w:szCs w:val="24"/>
        </w:rPr>
      </w:pPr>
      <w:r>
        <w:rPr>
          <w:rFonts w:hint="eastAsia"/>
          <w:sz w:val="24"/>
          <w:szCs w:val="24"/>
        </w:rPr>
        <w:t>四、工程布置</w:t>
      </w:r>
    </w:p>
    <w:p w14:paraId="053DD3CB">
      <w:pPr>
        <w:spacing w:line="360" w:lineRule="auto"/>
        <w:ind w:firstLine="480" w:firstLineChars="200"/>
        <w:jc w:val="left"/>
        <w:rPr>
          <w:sz w:val="24"/>
          <w:szCs w:val="24"/>
        </w:rPr>
      </w:pPr>
      <w:r>
        <w:rPr>
          <w:rFonts w:hint="eastAsia"/>
          <w:sz w:val="24"/>
          <w:szCs w:val="24"/>
        </w:rPr>
        <w:t>基本同意工程总体布置：</w:t>
      </w:r>
    </w:p>
    <w:p w14:paraId="604C1036">
      <w:pPr>
        <w:spacing w:line="360" w:lineRule="auto"/>
        <w:ind w:firstLine="480" w:firstLineChars="200"/>
        <w:jc w:val="left"/>
        <w:rPr>
          <w:rFonts w:hint="eastAsia"/>
          <w:sz w:val="24"/>
          <w:szCs w:val="24"/>
        </w:rPr>
      </w:pPr>
      <w:r>
        <w:rPr>
          <w:rFonts w:hint="eastAsia"/>
          <w:sz w:val="24"/>
          <w:szCs w:val="24"/>
        </w:rPr>
        <w:t>本项目以土溪水厂—大观水厂—兴隆水厂构成的联网供水系统为水源，在龙台寺处已建的土溪水厂DN400主管上引出1条DN200配水干管，管线走向向西北穿陈家湾公路涵洞后翻越杭家湾垭口，后沿公路向南埋设穿越黎香湖新村居民点至袁家湾，转弯向西北铺设，经春颠湾、朝门、一百步，到达马颈子处设置减压池，经减压后继续沿公路至千里村生基湾、钟家桥、柏树林湾，最终至茨竹垭口高位水池。供区各村内配水管网并通过设置生基湾水箱、茨竹垭口水箱作为调节池，铺设配水管网至各院落供水，在地势较高的区域增设管道加压提水至高位水池或用户。解决白沙镇、大观镇等2个乡镇共计7个行政村（社）的移民及居民的饮水安全等问题。</w:t>
      </w:r>
    </w:p>
    <w:p w14:paraId="3F718A35">
      <w:pPr>
        <w:spacing w:line="360" w:lineRule="auto"/>
        <w:ind w:firstLine="480" w:firstLineChars="200"/>
        <w:jc w:val="left"/>
        <w:rPr>
          <w:sz w:val="24"/>
          <w:szCs w:val="24"/>
        </w:rPr>
      </w:pPr>
      <w:r>
        <w:rPr>
          <w:rFonts w:hint="eastAsia"/>
          <w:sz w:val="24"/>
          <w:szCs w:val="24"/>
          <w:lang w:val="en-US" w:eastAsia="zh-CN"/>
        </w:rPr>
        <w:t>五</w:t>
      </w:r>
      <w:r>
        <w:rPr>
          <w:sz w:val="24"/>
          <w:szCs w:val="24"/>
        </w:rPr>
        <w:t>、施工组织设计</w:t>
      </w:r>
    </w:p>
    <w:p w14:paraId="1E73B4DE">
      <w:pPr>
        <w:spacing w:line="360" w:lineRule="auto"/>
        <w:ind w:firstLine="480" w:firstLineChars="200"/>
        <w:jc w:val="left"/>
        <w:rPr>
          <w:sz w:val="24"/>
          <w:szCs w:val="24"/>
        </w:rPr>
      </w:pPr>
      <w:r>
        <w:rPr>
          <w:rFonts w:hint="eastAsia"/>
          <w:sz w:val="24"/>
          <w:szCs w:val="24"/>
        </w:rPr>
        <w:t>（一）基本同意工程施工方案。</w:t>
      </w:r>
    </w:p>
    <w:p w14:paraId="7CE6C2DE">
      <w:pPr>
        <w:spacing w:line="360" w:lineRule="auto"/>
        <w:ind w:firstLine="480" w:firstLineChars="200"/>
        <w:jc w:val="left"/>
        <w:rPr>
          <w:sz w:val="24"/>
          <w:szCs w:val="24"/>
        </w:rPr>
      </w:pPr>
      <w:r>
        <w:rPr>
          <w:rFonts w:hint="eastAsia"/>
          <w:sz w:val="24"/>
          <w:szCs w:val="24"/>
        </w:rPr>
        <w:t>（二）基本同意工程施工总体布置方案及施工方法。</w:t>
      </w:r>
    </w:p>
    <w:p w14:paraId="37332FC9">
      <w:pPr>
        <w:spacing w:line="360" w:lineRule="auto"/>
        <w:ind w:firstLine="480" w:firstLineChars="200"/>
        <w:jc w:val="left"/>
        <w:rPr>
          <w:sz w:val="24"/>
          <w:szCs w:val="24"/>
        </w:rPr>
      </w:pPr>
      <w:r>
        <w:rPr>
          <w:rFonts w:hint="eastAsia"/>
          <w:sz w:val="24"/>
          <w:szCs w:val="24"/>
        </w:rPr>
        <w:t>（三）基本同意工程施工总进度计划，总工期为10个月。</w:t>
      </w:r>
    </w:p>
    <w:p w14:paraId="01C96193">
      <w:pPr>
        <w:spacing w:line="360" w:lineRule="auto"/>
        <w:ind w:firstLine="480" w:firstLineChars="200"/>
        <w:jc w:val="left"/>
        <w:rPr>
          <w:sz w:val="24"/>
          <w:szCs w:val="24"/>
        </w:rPr>
      </w:pPr>
      <w:r>
        <w:rPr>
          <w:rFonts w:hint="eastAsia"/>
          <w:sz w:val="24"/>
          <w:szCs w:val="24"/>
          <w:lang w:val="en-US" w:eastAsia="zh-CN"/>
        </w:rPr>
        <w:t>六</w:t>
      </w:r>
      <w:r>
        <w:rPr>
          <w:rFonts w:hint="eastAsia"/>
          <w:sz w:val="24"/>
          <w:szCs w:val="24"/>
        </w:rPr>
        <w:t>、水土保持及环境保护</w:t>
      </w:r>
    </w:p>
    <w:p w14:paraId="50563612">
      <w:pPr>
        <w:spacing w:line="360" w:lineRule="auto"/>
        <w:ind w:firstLine="480" w:firstLineChars="200"/>
        <w:jc w:val="left"/>
        <w:rPr>
          <w:sz w:val="24"/>
          <w:szCs w:val="24"/>
        </w:rPr>
      </w:pPr>
      <w:bookmarkStart w:id="0" w:name="OLE_LINK79"/>
      <w:bookmarkStart w:id="1" w:name="OLE_LINK80"/>
      <w:r>
        <w:rPr>
          <w:rFonts w:hint="eastAsia"/>
          <w:sz w:val="24"/>
          <w:szCs w:val="24"/>
        </w:rPr>
        <w:t>（一）</w:t>
      </w:r>
      <w:bookmarkEnd w:id="0"/>
      <w:bookmarkEnd w:id="1"/>
      <w:r>
        <w:rPr>
          <w:rFonts w:hint="eastAsia"/>
          <w:sz w:val="24"/>
          <w:szCs w:val="24"/>
        </w:rPr>
        <w:t>基本同意水土流失减免措施及水土保持分区防治措施。</w:t>
      </w:r>
    </w:p>
    <w:p w14:paraId="25DE8314">
      <w:pPr>
        <w:spacing w:line="360" w:lineRule="auto"/>
        <w:ind w:firstLine="480" w:firstLineChars="200"/>
        <w:jc w:val="left"/>
        <w:rPr>
          <w:sz w:val="24"/>
          <w:szCs w:val="24"/>
        </w:rPr>
      </w:pPr>
      <w:r>
        <w:rPr>
          <w:rFonts w:hint="eastAsia"/>
          <w:sz w:val="24"/>
          <w:szCs w:val="24"/>
        </w:rPr>
        <w:t>（二）基本同意环境影响分析及环境影响设计。</w:t>
      </w:r>
    </w:p>
    <w:p w14:paraId="6FF8F2E0">
      <w:pPr>
        <w:spacing w:line="360" w:lineRule="auto"/>
        <w:ind w:firstLine="480" w:firstLineChars="200"/>
        <w:jc w:val="left"/>
        <w:rPr>
          <w:sz w:val="24"/>
          <w:szCs w:val="24"/>
        </w:rPr>
      </w:pPr>
      <w:r>
        <w:rPr>
          <w:rFonts w:hint="eastAsia"/>
          <w:sz w:val="24"/>
          <w:szCs w:val="24"/>
          <w:lang w:val="en-US" w:eastAsia="zh-CN"/>
        </w:rPr>
        <w:t>七</w:t>
      </w:r>
      <w:r>
        <w:rPr>
          <w:rFonts w:hint="eastAsia"/>
          <w:sz w:val="24"/>
          <w:szCs w:val="24"/>
        </w:rPr>
        <w:t>、工程管理</w:t>
      </w:r>
    </w:p>
    <w:p w14:paraId="635DA6A3">
      <w:pPr>
        <w:spacing w:line="360" w:lineRule="auto"/>
        <w:ind w:firstLine="480" w:firstLineChars="200"/>
        <w:jc w:val="left"/>
        <w:rPr>
          <w:sz w:val="24"/>
          <w:szCs w:val="24"/>
        </w:rPr>
      </w:pPr>
      <w:r>
        <w:rPr>
          <w:rFonts w:hint="eastAsia"/>
          <w:sz w:val="24"/>
          <w:szCs w:val="24"/>
        </w:rPr>
        <w:t>基本同意工程建设以及运行管理机构、管理范围和保护范围等设计内容。</w:t>
      </w:r>
    </w:p>
    <w:p w14:paraId="07A24FE8">
      <w:pPr>
        <w:spacing w:line="360" w:lineRule="auto"/>
        <w:ind w:firstLine="480" w:firstLineChars="200"/>
        <w:jc w:val="left"/>
        <w:rPr>
          <w:sz w:val="24"/>
          <w:szCs w:val="24"/>
        </w:rPr>
      </w:pPr>
      <w:r>
        <w:rPr>
          <w:rFonts w:hint="eastAsia"/>
          <w:sz w:val="24"/>
          <w:szCs w:val="24"/>
          <w:lang w:val="en-US" w:eastAsia="zh-CN"/>
        </w:rPr>
        <w:t>八</w:t>
      </w:r>
      <w:r>
        <w:rPr>
          <w:rFonts w:hint="eastAsia"/>
          <w:sz w:val="24"/>
          <w:szCs w:val="24"/>
        </w:rPr>
        <w:t>、社会效益</w:t>
      </w:r>
    </w:p>
    <w:p w14:paraId="2AD8B5D2">
      <w:pPr>
        <w:spacing w:line="360" w:lineRule="auto"/>
        <w:ind w:firstLine="480" w:firstLineChars="200"/>
        <w:jc w:val="left"/>
        <w:rPr>
          <w:sz w:val="24"/>
          <w:szCs w:val="24"/>
        </w:rPr>
      </w:pPr>
      <w:r>
        <w:rPr>
          <w:rFonts w:hint="eastAsia"/>
          <w:sz w:val="24"/>
          <w:szCs w:val="24"/>
        </w:rPr>
        <w:t>本项目属于社会公益性较强的基础建设项目，项目的实施建设，有利于提升村民幸福感、安全感。实施农村供水保障工程是实现公共服务均等化的重要途径，是保证社会公平、安定、促进经济社会发展的基本条件，促进农村社会文明和谐，是构建社会主义和谐社会的德政工程、民心工程，是建设社会主义新农村的一项基础工程，极大提高群众的生活质量和幸福感。本工程社会效益较为显著，保障白沙镇以及大观镇等2个乡镇共计7个行政村（社）的饮水安全，受益人口8758人，其中移民人口906人；主要通过延伸农村供水管网，解决项目区内的安全饮水问题。</w:t>
      </w:r>
    </w:p>
    <w:p w14:paraId="35C11C13">
      <w:pPr>
        <w:spacing w:line="360" w:lineRule="auto"/>
        <w:ind w:firstLine="480" w:firstLineChars="200"/>
        <w:jc w:val="left"/>
        <w:rPr>
          <w:sz w:val="24"/>
          <w:szCs w:val="24"/>
        </w:rPr>
      </w:pPr>
      <w:r>
        <w:rPr>
          <w:rFonts w:hint="eastAsia"/>
          <w:sz w:val="24"/>
          <w:szCs w:val="24"/>
          <w:lang w:val="en-US" w:eastAsia="zh-CN"/>
        </w:rPr>
        <w:t>九</w:t>
      </w:r>
      <w:r>
        <w:rPr>
          <w:rFonts w:hint="eastAsia"/>
          <w:sz w:val="24"/>
          <w:szCs w:val="24"/>
        </w:rPr>
        <w:t>、投资概算</w:t>
      </w:r>
    </w:p>
    <w:p w14:paraId="6004FAE6">
      <w:pPr>
        <w:spacing w:line="360" w:lineRule="auto"/>
        <w:ind w:firstLine="480" w:firstLineChars="200"/>
        <w:jc w:val="left"/>
        <w:rPr>
          <w:sz w:val="24"/>
          <w:szCs w:val="24"/>
        </w:rPr>
      </w:pPr>
      <w:r>
        <w:rPr>
          <w:rFonts w:hint="eastAsia"/>
          <w:sz w:val="24"/>
          <w:szCs w:val="24"/>
        </w:rPr>
        <w:t>（一）基本同意以《重庆市水利工程设计概(估)算编制规定》(2021年版)、《重庆市水利建筑工程概算定额》(2021年版)(上、下册)为概算编制依据。工程概算报送总投资1817.92万元，其中：建筑工程1224.82万元，机电设备及安装工程68.40万元，临时工程费（含安全生产费）79.48万元，独立费249.56万元，基本预备费81.11万元，征地补偿费64.55万元，环境保护投资25.0万元，水土保持投资25.0万元。进一步核实材料价格的来源，工程概算以职能部门的审批结果为准。</w:t>
      </w:r>
    </w:p>
    <w:p w14:paraId="756AD46E">
      <w:pPr>
        <w:spacing w:line="360" w:lineRule="auto"/>
        <w:ind w:firstLine="480" w:firstLineChars="200"/>
        <w:jc w:val="left"/>
        <w:rPr>
          <w:sz w:val="24"/>
          <w:szCs w:val="24"/>
        </w:rPr>
      </w:pPr>
      <w:r>
        <w:rPr>
          <w:rFonts w:hint="eastAsia"/>
          <w:sz w:val="24"/>
          <w:szCs w:val="24"/>
        </w:rPr>
        <w:t>（二）基本同意资金筹措方案为：申请上级补助资金和大中型水库移民后期扶持资金。大中型水库移民后期扶持补助资金不得用于建设征地与移民安置补偿费用。</w:t>
      </w:r>
    </w:p>
    <w:p w14:paraId="1329BC52">
      <w:pPr>
        <w:spacing w:line="360" w:lineRule="auto"/>
        <w:ind w:firstLine="480" w:firstLineChars="200"/>
        <w:jc w:val="left"/>
        <w:rPr>
          <w:sz w:val="24"/>
          <w:szCs w:val="24"/>
        </w:rPr>
      </w:pPr>
      <w:r>
        <w:rPr>
          <w:rFonts w:hint="eastAsia"/>
          <w:sz w:val="24"/>
          <w:szCs w:val="24"/>
          <w:lang w:val="en-US" w:eastAsia="zh-CN"/>
        </w:rPr>
        <w:t>十</w:t>
      </w:r>
      <w:r>
        <w:rPr>
          <w:rFonts w:hint="eastAsia"/>
          <w:sz w:val="24"/>
          <w:szCs w:val="24"/>
        </w:rPr>
        <w:t>、建议</w:t>
      </w:r>
    </w:p>
    <w:p w14:paraId="1FEFC574">
      <w:pPr>
        <w:spacing w:line="360" w:lineRule="auto"/>
        <w:ind w:firstLine="480" w:firstLineChars="200"/>
        <w:jc w:val="left"/>
        <w:rPr>
          <w:sz w:val="24"/>
          <w:szCs w:val="24"/>
        </w:rPr>
      </w:pPr>
      <w:r>
        <w:rPr>
          <w:rFonts w:hint="eastAsia"/>
          <w:sz w:val="24"/>
          <w:szCs w:val="24"/>
        </w:rPr>
        <w:t>进一步核实各供区用水人口，进一步核实现有管道的再利用情况，优化供水管径和管网布置。</w:t>
      </w:r>
    </w:p>
    <w:p w14:paraId="028B1488">
      <w:pPr>
        <w:spacing w:line="360" w:lineRule="auto"/>
        <w:ind w:firstLine="480" w:firstLineChars="200"/>
        <w:jc w:val="left"/>
        <w:rPr>
          <w:sz w:val="24"/>
          <w:szCs w:val="24"/>
        </w:rPr>
      </w:pPr>
    </w:p>
    <w:p w14:paraId="6AA4C5F0">
      <w:pPr>
        <w:spacing w:line="360" w:lineRule="auto"/>
        <w:ind w:firstLine="480" w:firstLineChars="200"/>
        <w:jc w:val="left"/>
        <w:rPr>
          <w:sz w:val="24"/>
          <w:szCs w:val="24"/>
        </w:rPr>
      </w:pPr>
    </w:p>
    <w:p w14:paraId="23BA5C14">
      <w:pPr>
        <w:wordWrap w:val="0"/>
        <w:spacing w:line="360" w:lineRule="auto"/>
        <w:ind w:firstLine="480" w:firstLineChars="200"/>
        <w:jc w:val="right"/>
        <w:rPr>
          <w:sz w:val="24"/>
          <w:szCs w:val="24"/>
        </w:rPr>
      </w:pPr>
      <w:r>
        <w:rPr>
          <w:rFonts w:hint="eastAsia"/>
          <w:sz w:val="24"/>
          <w:szCs w:val="24"/>
        </w:rPr>
        <w:t>专家组组长：</w:t>
      </w:r>
      <w:r>
        <w:rPr>
          <w:position w:val="-27"/>
        </w:rPr>
        <w:drawing>
          <wp:inline distT="0" distB="0" distL="0" distR="0">
            <wp:extent cx="655320" cy="52387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
                    <a:stretch>
                      <a:fillRect/>
                    </a:stretch>
                  </pic:blipFill>
                  <pic:spPr>
                    <a:xfrm>
                      <a:off x="0" y="0"/>
                      <a:ext cx="655320" cy="524255"/>
                    </a:xfrm>
                    <a:prstGeom prst="rect">
                      <a:avLst/>
                    </a:prstGeom>
                  </pic:spPr>
                </pic:pic>
              </a:graphicData>
            </a:graphic>
          </wp:inline>
        </w:drawing>
      </w:r>
      <w:bookmarkStart w:id="2" w:name="_GoBack"/>
      <w:bookmarkEnd w:id="2"/>
    </w:p>
    <w:p w14:paraId="1DF18980">
      <w:pPr>
        <w:spacing w:line="360" w:lineRule="auto"/>
        <w:ind w:firstLine="480" w:firstLineChars="200"/>
        <w:jc w:val="right"/>
        <w:rPr>
          <w:sz w:val="24"/>
          <w:szCs w:val="24"/>
        </w:rPr>
      </w:pPr>
      <w:r>
        <w:rPr>
          <w:rFonts w:hint="eastAsia"/>
          <w:sz w:val="24"/>
          <w:szCs w:val="24"/>
        </w:rPr>
        <w:t>2026年6月11日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567"/>
    <w:rsid w:val="00014F0D"/>
    <w:rsid w:val="001B32DE"/>
    <w:rsid w:val="001F560A"/>
    <w:rsid w:val="002F724D"/>
    <w:rsid w:val="003B1A2F"/>
    <w:rsid w:val="003F7567"/>
    <w:rsid w:val="004014DE"/>
    <w:rsid w:val="00647021"/>
    <w:rsid w:val="00647376"/>
    <w:rsid w:val="006B4185"/>
    <w:rsid w:val="006B7B61"/>
    <w:rsid w:val="006C20FB"/>
    <w:rsid w:val="006D2DF5"/>
    <w:rsid w:val="007F3C2B"/>
    <w:rsid w:val="008408F9"/>
    <w:rsid w:val="008B719C"/>
    <w:rsid w:val="00902F0E"/>
    <w:rsid w:val="00944A59"/>
    <w:rsid w:val="0099622D"/>
    <w:rsid w:val="00A52BC4"/>
    <w:rsid w:val="00AF007D"/>
    <w:rsid w:val="00B32CAA"/>
    <w:rsid w:val="00B520AD"/>
    <w:rsid w:val="00BB4A06"/>
    <w:rsid w:val="00C664D6"/>
    <w:rsid w:val="00C70A3C"/>
    <w:rsid w:val="00C75847"/>
    <w:rsid w:val="00C84B2F"/>
    <w:rsid w:val="00C93798"/>
    <w:rsid w:val="00DC054D"/>
    <w:rsid w:val="00E90788"/>
    <w:rsid w:val="00E90E09"/>
    <w:rsid w:val="01684DD1"/>
    <w:rsid w:val="33290807"/>
    <w:rsid w:val="3A10678E"/>
    <w:rsid w:val="71B20B2D"/>
    <w:rsid w:val="76522A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kern w:val="2"/>
      <w:sz w:val="18"/>
      <w:szCs w:val="18"/>
    </w:rPr>
  </w:style>
  <w:style w:type="paragraph" w:customStyle="1" w:styleId="10">
    <w:name w:val="表格"/>
    <w:basedOn w:val="1"/>
    <w:next w:val="1"/>
    <w:qFormat/>
    <w:uiPriority w:val="0"/>
    <w:pPr>
      <w:autoSpaceDE w:val="0"/>
      <w:autoSpaceDN w:val="0"/>
      <w:snapToGrid w:val="0"/>
      <w:spacing w:line="240" w:lineRule="auto"/>
      <w:ind w:firstLine="0" w:firstLineChars="0"/>
      <w:jc w:val="center"/>
    </w:pPr>
    <w:rPr>
      <w:rFonts w:cs="Times New Roman"/>
      <w:kern w:val="0"/>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3342</Words>
  <Characters>3973</Characters>
  <Lines>28</Lines>
  <Paragraphs>7</Paragraphs>
  <TotalTime>10</TotalTime>
  <ScaleCrop>false</ScaleCrop>
  <LinksUpToDate>false</LinksUpToDate>
  <CharactersWithSpaces>3989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2026-05-15T07:49:00Z</dcterms:created>
  <dc:creator>ASUS-PC</dc:creator>
  <cp:lastModifiedBy>方勇</cp:lastModifiedBy>
  <dcterms:modified xsi:type="dcterms:W3CDTF">2026-06-18T02:21:01Z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eyJoZGlkIjoiZWExNjliYzk1MGVkNjI5YzhjMjU5YzJhYjMxMzMyODUiLCJ1c2VySWQiOiI5NDA4MDg3NjcifQ==</vt:lpwstr>
  </property>
  <property fmtid="{D5CDD505-2E9C-101B-9397-08002B2CF9AE}" pid="3" name="KSOProductBuildVer">
    <vt:lpwstr>2052-12.1.0.26895</vt:lpwstr>
  </property>
  <property fmtid="{D5CDD505-2E9C-101B-9397-08002B2CF9AE}" pid="4" name="ICV">
    <vt:lpwstr>9C45975688464ED887F09EB3892ABA2C_12</vt:lpwstr>
  </property>
</Properties>
</file>