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rPr>
          <w:rFonts w:hint="eastAsia" w:ascii="方正仿宋_GBK" w:hAnsi="方正仿宋_GBK" w:eastAsia="方正仿宋_GBK" w:cs="方正仿宋_GBK"/>
          <w:color w:val="000000"/>
          <w:spacing w:val="-4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hint="eastAsia" w:ascii="Times New Roman" w:hAnsi="Times New Roman" w:eastAsia="方正小标宋_GBK" w:cs="Times New Roman"/>
          <w:spacing w:val="16"/>
          <w:kern w:val="0"/>
          <w:sz w:val="38"/>
          <w:szCs w:val="38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16"/>
          <w:kern w:val="0"/>
          <w:sz w:val="38"/>
          <w:szCs w:val="38"/>
        </w:rPr>
        <w:t>2023年</w:t>
      </w:r>
      <w:r>
        <w:rPr>
          <w:rFonts w:hint="eastAsia" w:ascii="Times New Roman" w:hAnsi="Times New Roman" w:eastAsia="方正小标宋_GBK" w:cs="Times New Roman"/>
          <w:spacing w:val="16"/>
          <w:kern w:val="0"/>
          <w:sz w:val="38"/>
          <w:szCs w:val="38"/>
          <w:lang w:val="en-US" w:eastAsia="zh-CN"/>
        </w:rPr>
        <w:t>度南川区</w:t>
      </w:r>
      <w:r>
        <w:rPr>
          <w:rFonts w:hint="default" w:ascii="Times New Roman" w:hAnsi="Times New Roman" w:eastAsia="方正小标宋_GBK" w:cs="Times New Roman"/>
          <w:spacing w:val="16"/>
          <w:kern w:val="0"/>
          <w:sz w:val="38"/>
          <w:szCs w:val="38"/>
        </w:rPr>
        <w:t>危险废物规范化环境管理评估被抽查单位评估情况</w:t>
      </w:r>
      <w:r>
        <w:rPr>
          <w:rFonts w:hint="eastAsia" w:ascii="Times New Roman" w:hAnsi="Times New Roman" w:eastAsia="方正小标宋_GBK" w:cs="Times New Roman"/>
          <w:spacing w:val="16"/>
          <w:kern w:val="0"/>
          <w:sz w:val="38"/>
          <w:szCs w:val="38"/>
          <w:lang w:val="en-US" w:eastAsia="zh-CN"/>
        </w:rPr>
        <w:t>公示</w:t>
      </w:r>
    </w:p>
    <w:p>
      <w:pPr>
        <w:adjustRightInd w:val="0"/>
        <w:snapToGrid w:val="0"/>
        <w:spacing w:line="408" w:lineRule="auto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7"/>
        <w:tblW w:w="136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71"/>
        <w:gridCol w:w="1449"/>
        <w:gridCol w:w="1198"/>
        <w:gridCol w:w="1800"/>
        <w:gridCol w:w="2280"/>
        <w:gridCol w:w="2385"/>
        <w:gridCol w:w="1245"/>
        <w:gridCol w:w="11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评估时间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单位类型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单位基本情况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危险废物产生情况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评估发现的问题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备注（评估得分）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评估人员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重庆汇新圆环境工程有限公司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tabs>
                <w:tab w:val="left" w:pos="432"/>
              </w:tabs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2023.11.12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经营单位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危险废物收贮转运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HW01、HW02、HW03、HW06、HW08、HW09、HW12、HW13、HW16、HW17、HW21、HW31、HW34、HW35、HW36、HW49共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160余吨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1.无演练后的总结材料；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台账记录不规范；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未依法公开当年危废污染防治信息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60.5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唐兵、付春芳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重庆方略精控金属制品有限公司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2023.11.24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重点产废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主要产品为冷镦金线，年产量3.36万吨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HW34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HW17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1354.5吨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1.场所识别标志有错误；2.危险废物的产生环节、种类描述不清晰；3.申报内容中存在错误；4.未组织环境应急演练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唐兵、付春芳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重庆吉鑫再生资源有限公司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2023.11.29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经营单位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收集并处置废旧铅酸蓄电池、电瓶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HW48、HW49共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700.65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应急演练缺图片视频资料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；2.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废铅蓄电池贮存不规范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未依法公开危废污染环境防治信息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唐兵、付春芳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重庆江南化工科技有限责任公司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2023.11.29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年产中高档（中铬黄400吨、钼铬红200吨、柠檬黄200吨、普通中铬黄3500吨、钼铬红80吨、柠檬黄500吨、防锈颜料1200吨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HW08、HW12、HW13、HW49共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未规范设置危废标签；</w:t>
            </w:r>
          </w:p>
          <w:p>
            <w:pPr>
              <w:pStyle w:val="10"/>
              <w:numPr>
                <w:ilvl w:val="0"/>
                <w:numId w:val="1"/>
              </w:num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未规范设施分类设施标识；</w:t>
            </w:r>
          </w:p>
          <w:p>
            <w:pPr>
              <w:pStyle w:val="10"/>
              <w:numPr>
                <w:ilvl w:val="0"/>
                <w:numId w:val="1"/>
              </w:num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危废间地面脏乱且有杂物。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唐兵、付春芳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重庆鸿庆达产业有限公司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2023.11.27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其他产废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石灰石煅烧筛分与炭材烘干筛分后按比例配料进行电石熔炼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HW08、HW11、HW49共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1.识别标志样式有错误；2.转移联单填写不规范；3.应急预案未及时更新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48.5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唐兵、付春芳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中石化江汉石油工程有限公司钻井二公司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2023.11.29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页岩气开发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HW08、HW09共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6440.75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1.未张贴责任信息；2.部分包装物未张贴危废标志；3.未对不同类别危险废物分类收集；4.未核实受托方含油沾染物处置资质；5.未及时公开污染防治信息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43.5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唐兵、付春芳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重庆爱于微环保科技有限责任公司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2023.11.29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经营单位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年处置油基钻屑1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5360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HW08、HW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9共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11171.7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1.未开展应急演练；2.未依法公开危废污染环境防治信息。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67.5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唐兵、付春芳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重庆市中涪南热电有限公司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2023.11.24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其他产废单位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热力发电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HW08、HW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9共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11.66吨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1.未张贴危险废物污染防治责任信息；2.入库台账记录不准确；3.不同废物间无明显间隔；4.联单填写不规范；5.危废间内堆存有原料；6.未依法公开危废污染环境防治信息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唐兵、付春芳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重庆威鹏药业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2023.11.28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废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兽药研发制造，年产生危险废物总量约50吨。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产生HW4925.4吨；产生HW027.8吨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1.未张贴危险废物污染防治责任信息；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2.危废间地面有破损；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唐兵、付春芳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重庆隆协机械有限公司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2023.11.12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其他产废单位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生产及销售：工程机械配件、汽车零部件配件、摩托车配件、五金、船舶配件；货物进出口等。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产生HW08、HW09、HW12、HW48、HW49共4.5吨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1.未张贴危险废物污染防治责任信息；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部分包装物未张贴危废标志；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3.危废标志错误；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45.5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唐兵、付春芳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重庆西友新型墙体材料有限公司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2023.11.1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其他产废单位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铝制装饰板生产加工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产生HW12漆渣共计36吨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1.危险废物标志有1处错误；2.不同类型废物间没有明显间隔。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唐兵、付春芳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重庆市南川区李氏实业有限责任公司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2023.11.28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重点产废单位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摩托车减震器设计产200万套/年，电镀许可生产能力：镀硬铬自动生产线6.6万㎡/a,镀装饰铬自动生产线5.4万㎡/a,镀锌自动生产线1.2万㎡/a。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产生含金属污泥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41.575吨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1.信息公示栏标识错误；2.无应急演练计划，无演练图片；3.未依法公开危废污染环境防治信息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唐兵、付春芳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重庆市超群工业股份有限公司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2023.11.2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其他产废单位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产品为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锻造轮毂， 铸造轮毂， 个性定制轮毂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产生漆渣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1.责任人信息未及时更新；2.未按照预案要求定期组织应急演练；3.不同类型废物间没有明显间隔。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唐兵、付春芳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重庆金鸿纬科技有限公司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2023.11.16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重点产废单位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钢梁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吨/年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，钢柱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吨/年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，行车梁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吨/年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，抗风梁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吨/年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，平台梁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7100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吨/年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产生HW49、HW09、HW12共115.51吨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1、油漆桶未设置标识、标志；2.油漆桶贮存场所未按规范设置识别标志；3.不同废弃物间无明显间隔；4.危废转移联单填写不规范；5跨省转移未备案；6.油漆桶无防渗托盘，装载危险废物的容器有破损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唐兵、付春芳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重庆市南川区蓝天环保工程有限公司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2023.11.21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经营</w:t>
            </w:r>
          </w:p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收集处置全区医疗废物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产生HW01约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730吨。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1.二氧化氯消毒池未及时清理，管道有破损；2.未依法公开当年危废污染环境防治信息。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唐兵、付春芳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中石化重庆页岩气有限公司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2023.11.20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重点产废单位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页岩气开发，页岩气开采50000万方/年。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产生HW08约26000吨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topLinePunct/>
              <w:adjustRightInd w:val="0"/>
              <w:snapToGrid w:val="0"/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1.危险废物标识标牌有1处错误；2.缺演练后的总结资料；3.未依法公开危废污染环境防治信息；4.危废暂存间有杂物；5.危废间地面破损。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44.5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唐兵、付春芳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重庆顶典化工有限公司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其他产废单位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油性氟碳涂料1500吨/年，水性氟碳涂料100吨/年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产生HW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06、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HW49共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0.88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Times New Roman" w:hAnsi="Times New Roman" w:eastAsia="方正仿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1.部分张贴危废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识别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标志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错误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2.各危险废物分区间隔不明显。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45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唐兵、付春芳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仿宋_GB2312" w:cs="Times New Roman"/>
          <w:sz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6838" w:h="11905" w:orient="landscape"/>
          <w:pgMar w:top="1803" w:right="1440" w:bottom="1803" w:left="1440" w:header="851" w:footer="992" w:gutter="0"/>
          <w:cols w:space="720" w:num="1"/>
          <w:rtlGutter w:val="0"/>
          <w:docGrid w:type="lines" w:linePitch="437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Helvetica">
    <w:altName w:val="Noto Naskh Arabic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firstLine="7840" w:firstLineChars="2800"/>
      <w:jc w:val="right"/>
      <w:rPr>
        <w:rFonts w:hint="eastAsia" w:ascii="宋体" w:hAnsi="宋体" w:eastAsia="宋体"/>
        <w:sz w:val="28"/>
        <w:lang w:val="en-US" w:eastAsia="zh-CN"/>
      </w:rPr>
    </w:pPr>
    <w:r>
      <w:rPr>
        <w:rFonts w:hint="eastAsia" w:ascii="宋体" w:hAnsi="宋体" w:eastAsia="宋体"/>
        <w:sz w:val="28"/>
      </w:rPr>
      <w:t>—</w:t>
    </w:r>
    <w:r>
      <w:rPr>
        <w:rFonts w:hint="eastAsia" w:ascii="宋体" w:hAnsi="宋体" w:eastAsia="宋体"/>
        <w:sz w:val="28"/>
        <w:lang w:val="en-US" w:eastAsia="zh-CN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  <w:lang w:val="en-US" w:eastAsia="zh-CN"/>
      </w:rPr>
      <w:t xml:space="preserve"> </w:t>
    </w:r>
    <w:r>
      <w:rPr>
        <w:rFonts w:hint="eastAsia" w:ascii="宋体" w:hAnsi="宋体" w:eastAsia="宋体"/>
        <w:sz w:val="28"/>
      </w:rPr>
      <w:t>—</w:t>
    </w:r>
    <w:r>
      <w:rPr>
        <w:rFonts w:hint="eastAsia" w:ascii="宋体" w:hAnsi="宋体" w:eastAsia="宋体"/>
        <w:sz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fldChar w:fldCharType="begin"/>
    </w:r>
    <w:r>
      <w:rPr>
        <w:rStyle w:val="9"/>
        <w:rFonts w:ascii="宋体" w:hAnsi="宋体" w:eastAsia="宋体"/>
        <w:sz w:val="28"/>
      </w:rPr>
      <w:instrText xml:space="preserve"> PAGE </w:instrText>
    </w:r>
    <w:r>
      <w:rPr>
        <w:rFonts w:ascii="宋体" w:hAnsi="宋体" w:eastAsia="宋体"/>
        <w:sz w:val="28"/>
      </w:rPr>
      <w:fldChar w:fldCharType="separate"/>
    </w:r>
    <w:r>
      <w:rPr>
        <w:rStyle w:val="9"/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F11C2"/>
    <w:multiLevelType w:val="singleLevel"/>
    <w:tmpl w:val="999F11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2QzOTZkMGRlMGJjYTE5NDI5M2ZhMDY0ZjNhNzIifQ=="/>
  </w:docVars>
  <w:rsids>
    <w:rsidRoot w:val="61A2198E"/>
    <w:rsid w:val="61A2198E"/>
    <w:rsid w:val="FB4FF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4"/>
    <w:basedOn w:val="4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 w:val="0"/>
      <w:bCs w:val="0"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48"/>
    </w:rPr>
  </w:style>
  <w:style w:type="paragraph" w:customStyle="1" w:styleId="3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2024-03-08T16:16:00Z</dcterms:created>
  <dc:creator>少年包工头</dc:creator>
  <cp:lastModifiedBy>user</cp:lastModifiedBy>
  <dcterms:modified xsi:type="dcterms:W3CDTF">2024-03-08T16:36:02Z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5CE8BC6CC22B4BA7B98D5C8880A4905A_11</vt:lpwstr>
  </property>
</Properties>
</file>