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2023年第四季度共监测功能区噪声7个点位。其中，1类功能区点位2个，2类功能区点位2个，3类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</w:rPr>
        <w:t>功能区点位1个，4a类功能区点位2个，监测结果显示，功能区昼间、夜间平均等效声级分别为47.8分贝、40.6分贝，声环境质量达标；其中，1类功能区昼间、夜间平均等效声级分别为40.3分贝、32.6分贝，2类功能区昼间、夜间平均等效声级分别为48.6分贝、40.3分贝，3类功能区昼间、夜间平均等效声级分别为51.7分贝、45.3分贝，4a类功能区昼间、夜间平均等效声级分别为52.5分贝、46.6分贝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yOGQ4ODEwODEyOGFmODBkNzE5M2Y1YzMyMTkzMWYifQ=="/>
  </w:docVars>
  <w:rsids>
    <w:rsidRoot w:val="00000000"/>
    <w:rsid w:val="08171322"/>
    <w:rsid w:val="3B7F6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2023-12-25T15:12:00Z</dcterms:created>
  <dc:creator>Administrator</dc:creator>
  <cp:lastModifiedBy>user</cp:lastModifiedBy>
  <dcterms:modified xsi:type="dcterms:W3CDTF">2023-12-25T15:21:20Z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2052-11.8.2.1129</vt:lpwstr>
  </property>
  <property fmtid="{D5CDD505-2E9C-101B-9397-08002B2CF9AE}" pid="3" name="ICV">
    <vt:lpwstr>48FCCE1039DD4150A7D6EB2A25625A55</vt:lpwstr>
  </property>
</Properties>
</file>