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重庆市南川区商务委员会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2025年生态环境保护履职情况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2025年，我委坚持以习近平新时代中国特色社会主义思想为指导，全面贯彻落实党的二十大精神和习近平生态文明思想，坚决扛起生态环境保护政治责任，对照职责、狠抓落实，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较好完成</w:t>
      </w:r>
      <w:r>
        <w:rPr>
          <w:rFonts w:hint="default" w:ascii="Times New Roman" w:hAnsi="Times New Roman" w:eastAsia="方正仿宋_GBK" w:cs="Times New Roman"/>
          <w:sz w:val="32"/>
        </w:rPr>
        <w:t>商务领域生态环境保护各项工作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</w:rPr>
        <w:t>现将有关情况报告如下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一、主要工作及成效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（一）深化学习培训，筑牢思想根基。</w:t>
      </w:r>
      <w:r>
        <w:rPr>
          <w:rFonts w:hint="default" w:ascii="Times New Roman" w:hAnsi="Times New Roman" w:eastAsia="方正仿宋_GBK" w:cs="Times New Roman"/>
          <w:sz w:val="32"/>
        </w:rPr>
        <w:t>通过党组会、职工会及专题培训等形式，及时传达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</w:rPr>
        <w:t>级关于生态环境保护的重要部署，</w:t>
      </w:r>
      <w:r>
        <w:rPr>
          <w:rFonts w:hint="eastAsia" w:eastAsia="方正仿宋_GBK" w:cs="Times New Roman"/>
          <w:sz w:val="32"/>
          <w:lang w:val="en-US" w:eastAsia="zh-CN"/>
        </w:rPr>
        <w:t>组织学习</w:t>
      </w:r>
      <w:r>
        <w:rPr>
          <w:rFonts w:hint="default" w:ascii="Times New Roman" w:hAnsi="Times New Roman" w:eastAsia="方正仿宋_GBK" w:cs="Times New Roman"/>
          <w:sz w:val="32"/>
        </w:rPr>
        <w:t>《生态环境保护督察工作条例》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方正仿宋_GBK" w:cs="Times New Roman"/>
          <w:sz w:val="32"/>
        </w:rPr>
        <w:t>等相关法规，持续提升干部法治素养与履职能力。严格执行《重庆市南川区商务委员会生态环境保护具体事项清单》，在政府门户网站公开商务领域生态环境问题投诉举报方式，主动接受社会监督。将生态环境保护纳入年度监督检查重点，细化任务分工，压实科室责任，加强统筹协调与过程督导，确保各项工作落实到位、责任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方正楷体_GBK" w:hAnsi="方正楷体_GBK" w:eastAsia="方正楷体_GBK" w:cs="方正楷体_GBK"/>
          <w:sz w:val="32"/>
        </w:rPr>
        <w:t>（二）推进以旧换新，促进绿色消费。</w:t>
      </w:r>
      <w:r>
        <w:rPr>
          <w:rFonts w:hint="default" w:ascii="Times New Roman" w:hAnsi="Times New Roman" w:eastAsia="方正仿宋_GBK" w:cs="Times New Roman"/>
          <w:sz w:val="32"/>
        </w:rPr>
        <w:t>全面落实国家关于大规模设备更新和消费品以旧换新决策部署，依据《“爱尚重庆”消费品以旧换新实施方案》要求，组织开展绿色消费主题活动30余场，重点推动新能源汽车消费和电动自行车以旧换新，助力淘汰老旧车辆、减少尾气排放。累计完成汽车置换更新补贴1048人次、补贴金额1229.59万元，带动消费11448.19万元；汽车报废补贴申请219人次，补贴金额375.5万元、带动消费1982.84万元；完成电动自行车交易5946笔，带动消费1390.61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方正楷体_GBK" w:hAnsi="方正楷体_GBK" w:eastAsia="方正楷体_GBK" w:cs="方正楷体_GBK"/>
          <w:sz w:val="32"/>
        </w:rPr>
        <w:t>（三）聚力治气攻坚，改善空气质量。</w:t>
      </w:r>
      <w:r>
        <w:rPr>
          <w:rFonts w:hint="default" w:ascii="Times New Roman" w:hAnsi="Times New Roman" w:eastAsia="方正仿宋_GBK" w:cs="Times New Roman"/>
          <w:sz w:val="32"/>
        </w:rPr>
        <w:t>召开商务领域大气污染防治专题会议，及时传达全区大气污染防治攻坚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推进会</w:t>
      </w:r>
      <w:r>
        <w:rPr>
          <w:rFonts w:hint="default" w:ascii="Times New Roman" w:hAnsi="Times New Roman" w:eastAsia="方正仿宋_GBK" w:cs="Times New Roman"/>
          <w:sz w:val="32"/>
        </w:rPr>
        <w:t>会议精神，依托成品油协会联络群加强法律法规宣传。发挥行业协会引导作用，组织油气回收管理专项培训，鼓励加油站开展错峰加油卸油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活动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，切实</w:t>
      </w:r>
      <w:r>
        <w:rPr>
          <w:rFonts w:hint="default" w:ascii="Times New Roman" w:hAnsi="Times New Roman" w:eastAsia="方正仿宋_GBK" w:cs="Times New Roman"/>
          <w:sz w:val="32"/>
        </w:rPr>
        <w:t>减少挥发性有机物排放。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全面核查在营加油站购销台账、环保手续，通过年审机制强化常态监管。</w:t>
      </w:r>
      <w:r>
        <w:rPr>
          <w:rFonts w:hint="default" w:ascii="Times New Roman" w:hAnsi="Times New Roman" w:eastAsia="方正仿宋_GBK" w:cs="Times New Roman"/>
          <w:sz w:val="32"/>
        </w:rPr>
        <w:t>结合安全生产日常检查，指导加油站规范使用并维护油气回收装置，确保系统高效稳定运行。2025年，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全区20</w:t>
      </w:r>
      <w:r>
        <w:rPr>
          <w:rFonts w:hint="default" w:ascii="Times New Roman" w:hAnsi="Times New Roman" w:eastAsia="方正仿宋_GBK" w:cs="Times New Roman"/>
          <w:sz w:val="32"/>
        </w:rPr>
        <w:t>余座加油站参与夜间错峰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加油</w:t>
      </w:r>
      <w:r>
        <w:rPr>
          <w:rFonts w:hint="default" w:ascii="Times New Roman" w:hAnsi="Times New Roman" w:eastAsia="方正仿宋_GBK" w:cs="Times New Roman"/>
          <w:sz w:val="32"/>
        </w:rPr>
        <w:t>优惠活动，累计检查加油站120家次，实现全覆盖监督检查。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方正楷体_GBK" w:hAnsi="方正楷体_GBK" w:eastAsia="方正楷体_GBK" w:cs="方正楷体_GBK"/>
          <w:sz w:val="32"/>
        </w:rPr>
        <w:t>（四）</w:t>
      </w:r>
      <w:r>
        <w:rPr>
          <w:rFonts w:hint="default" w:ascii="方正楷体_GBK" w:hAnsi="方正楷体_GBK" w:eastAsia="方正楷体_GBK" w:cs="方正楷体_GBK"/>
          <w:sz w:val="32"/>
          <w:lang w:val="en-US" w:eastAsia="zh-CN"/>
        </w:rPr>
        <w:t>深化专项行动</w:t>
      </w:r>
      <w:r>
        <w:rPr>
          <w:rFonts w:hint="default" w:ascii="方正楷体_GBK" w:hAnsi="方正楷体_GBK" w:eastAsia="方正楷体_GBK" w:cs="方正楷体_GBK"/>
          <w:sz w:val="32"/>
        </w:rPr>
        <w:t>，推动源头减量。</w:t>
      </w:r>
      <w:r>
        <w:rPr>
          <w:rFonts w:hint="default" w:ascii="Times New Roman" w:hAnsi="Times New Roman" w:eastAsia="方正仿宋_GBK" w:cs="Times New Roman"/>
          <w:sz w:val="32"/>
        </w:rPr>
        <w:t>持续开展“光盘行动”，</w:t>
      </w:r>
      <w:r>
        <w:rPr>
          <w:rFonts w:hint="eastAsia" w:eastAsia="方正仿宋_GBK" w:cs="Times New Roman"/>
          <w:sz w:val="32"/>
          <w:lang w:val="en-US" w:eastAsia="zh-CN"/>
        </w:rPr>
        <w:t>发放</w:t>
      </w:r>
      <w:r>
        <w:rPr>
          <w:rFonts w:hint="default" w:ascii="Times New Roman" w:hAnsi="Times New Roman" w:eastAsia="方正仿宋_GBK" w:cs="Times New Roman"/>
          <w:sz w:val="32"/>
        </w:rPr>
        <w:t>“厉行节约、制止浪费”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立牌</w:t>
      </w:r>
      <w:r>
        <w:rPr>
          <w:rFonts w:hint="default" w:ascii="Times New Roman" w:hAnsi="Times New Roman" w:eastAsia="方正仿宋_GBK" w:cs="Times New Roman"/>
          <w:sz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印发文明餐桌倡议书，</w:t>
      </w:r>
      <w:r>
        <w:rPr>
          <w:rFonts w:hint="default" w:ascii="Times New Roman" w:hAnsi="Times New Roman" w:eastAsia="方正仿宋_GBK" w:cs="Times New Roman"/>
          <w:sz w:val="32"/>
        </w:rPr>
        <w:t>引导餐饮企业提供小份菜、半份菜，倡导顾客按需点餐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sz w:val="32"/>
        </w:rPr>
        <w:t>剩菜打包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sz w:val="32"/>
        </w:rPr>
        <w:t>，有效减少餐厨垃圾产生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制定烧烤经营户公约，督促商家及时清运垃圾和不违规排放油烟，积极落实环境保护主体责任</w:t>
      </w:r>
      <w:r>
        <w:rPr>
          <w:rFonts w:hint="default" w:ascii="Times New Roman" w:hAnsi="Times New Roman" w:eastAsia="方正仿宋_GBK" w:cs="Times New Roman"/>
          <w:sz w:val="32"/>
        </w:rPr>
        <w:t>。将塑料污染治理融入行业管理、促销活动、绿色商场创建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</w:rPr>
        <w:t>“15分钟商业服务圈”建设等重点工作中，鼓励经营者使用可降解塑料袋或可循环购物袋，减少一次性餐具及塑料制品使用。目前，永辉、风之彩等大型连锁超市已全面采用可降解塑料袋，塑料制品使用量实现有效下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方正楷体_GBK" w:hAnsi="方正楷体_GBK" w:eastAsia="方正楷体_GBK" w:cs="方正楷体_GBK"/>
          <w:sz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五</w:t>
      </w:r>
      <w:r>
        <w:rPr>
          <w:rFonts w:hint="default" w:ascii="方正楷体_GBK" w:hAnsi="方正楷体_GBK" w:eastAsia="方正楷体_GBK" w:cs="方正楷体_GBK"/>
          <w:sz w:val="32"/>
        </w:rPr>
        <w:t>）开展“无废细胞”创建，夯实绿色载体。</w:t>
      </w:r>
      <w:r>
        <w:rPr>
          <w:rFonts w:hint="default" w:ascii="Times New Roman" w:hAnsi="Times New Roman" w:eastAsia="方正仿宋_GBK" w:cs="Times New Roman"/>
          <w:sz w:val="32"/>
        </w:rPr>
        <w:t>印发商务领域“无废城市细胞”创建通知，组建三个专项工作组，围绕组织管理、固废治理、环境卫生、绿色低碳、宣传引导等指标，对重点餐饮住宿单位、成品油流通企业及农贸市场等主体进行实地指导。全年成功创建“无废城市细胞”8个，涵盖无废酒店2家、无废饭店2家、无废加油站3座、无废农贸市场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方正楷体_GBK" w:hAnsi="方正楷体_GBK" w:eastAsia="方正楷体_GBK" w:cs="方正楷体_GBK"/>
          <w:sz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六</w:t>
      </w:r>
      <w:r>
        <w:rPr>
          <w:rFonts w:hint="default" w:ascii="方正楷体_GBK" w:hAnsi="方正楷体_GBK" w:eastAsia="方正楷体_GBK" w:cs="方正楷体_GBK"/>
          <w:sz w:val="32"/>
        </w:rPr>
        <w:t>）倡导节能降耗，服务迎峰度夏。</w:t>
      </w:r>
      <w:r>
        <w:rPr>
          <w:rFonts w:hint="default" w:ascii="Times New Roman" w:hAnsi="Times New Roman" w:eastAsia="方正仿宋_GBK" w:cs="Times New Roman"/>
          <w:sz w:val="32"/>
        </w:rPr>
        <w:t>引导商贸企业使用节能灯具，推广空调智能调控系统，鼓励节约用电、降低能耗。积极推进迎峰度夏节能管理，督导企业采取部分电梯停用、减少非必要照明、合理控制空调温度等措施，有效保障全区居民生活用电平稳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</w:rPr>
      </w:pPr>
      <w:r>
        <w:rPr>
          <w:rFonts w:hint="default" w:ascii="方正黑体_GBK" w:hAnsi="方正黑体_GBK" w:eastAsia="方正黑体_GBK" w:cs="方正黑体_GBK"/>
          <w:sz w:val="32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部分商贸企业环保意识还有待提高。商贸行业点多面广，部分小微企业环保意识不强，如农贸市场使用可降解购物袋执行不好，少部分住宿企业落实非必要不使用一次性餐具、洁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具较差等问题，需进一步加大宣传和执法力度。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下一步，我委将持续深学笃用习近平生态文明思想，完整准确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全面贯彻新发展理念，牢固树立“绿水青山就是金山银山”理念，坚决履行生态环境保护职责，聚焦塑料污染治理、消费品以旧换新、再生资源回收体系建设等重点任务，持续促进消费绿色低碳转型，不断夯实商务领域绿色发展基础，为建设渝东生态新城贡献更多商务力量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4800" w:firstLineChars="1500"/>
        <w:textAlignment w:val="auto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重庆市南川区商务委员会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5120" w:firstLineChars="1600"/>
        <w:textAlignment w:val="auto"/>
        <w:rPr>
          <w:rFonts w:hint="default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cs="Times New Roman"/>
          <w:kern w:val="2"/>
          <w:sz w:val="32"/>
          <w:szCs w:val="24"/>
          <w:lang w:val="en-US" w:eastAsia="zh-CN" w:bidi="ar-SA"/>
        </w:rPr>
        <w:t>2026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年</w:t>
      </w:r>
      <w:r>
        <w:rPr>
          <w:rFonts w:hint="default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月</w:t>
      </w:r>
      <w:r>
        <w:rPr>
          <w:rFonts w:hint="default" w:cs="Times New Roman"/>
          <w:kern w:val="2"/>
          <w:sz w:val="32"/>
          <w:szCs w:val="24"/>
          <w:lang w:val="en-US" w:eastAsia="zh-CN" w:bidi="ar-SA"/>
        </w:rPr>
        <w:t>14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日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50A06"/>
    <w:rsid w:val="06F04297"/>
    <w:rsid w:val="07EC4BEA"/>
    <w:rsid w:val="09A3577C"/>
    <w:rsid w:val="0D374B59"/>
    <w:rsid w:val="145E0C1D"/>
    <w:rsid w:val="172D48D7"/>
    <w:rsid w:val="19EA2674"/>
    <w:rsid w:val="1B742AD4"/>
    <w:rsid w:val="238E2BA1"/>
    <w:rsid w:val="240B6ACD"/>
    <w:rsid w:val="24BB5C18"/>
    <w:rsid w:val="28BD2708"/>
    <w:rsid w:val="2AC50A06"/>
    <w:rsid w:val="2DD815E9"/>
    <w:rsid w:val="2FC811E9"/>
    <w:rsid w:val="2FDA56D2"/>
    <w:rsid w:val="30C85944"/>
    <w:rsid w:val="32CB34CA"/>
    <w:rsid w:val="333C6176"/>
    <w:rsid w:val="34301672"/>
    <w:rsid w:val="3E4660FB"/>
    <w:rsid w:val="3FDB5920"/>
    <w:rsid w:val="42607D29"/>
    <w:rsid w:val="44E563FD"/>
    <w:rsid w:val="4B103D18"/>
    <w:rsid w:val="4BB02E05"/>
    <w:rsid w:val="4C2061DD"/>
    <w:rsid w:val="4C453E95"/>
    <w:rsid w:val="4D0E0596"/>
    <w:rsid w:val="4F277882"/>
    <w:rsid w:val="50F9524E"/>
    <w:rsid w:val="635A70ED"/>
    <w:rsid w:val="67B8723F"/>
    <w:rsid w:val="6B085858"/>
    <w:rsid w:val="6C1256EA"/>
    <w:rsid w:val="6D57537F"/>
    <w:rsid w:val="6E3269A0"/>
    <w:rsid w:val="71810C1C"/>
    <w:rsid w:val="746F7140"/>
    <w:rsid w:val="770B3462"/>
    <w:rsid w:val="7B474A1F"/>
    <w:rsid w:val="7BB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1653</Words>
  <Characters>1704</Characters>
  <Lines>0</Lines>
  <Paragraphs>0</Paragraphs>
  <TotalTime>25</TotalTime>
  <ScaleCrop>false</ScaleCrop>
  <LinksUpToDate>false</LinksUpToDate>
  <CharactersWithSpaces>1704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2026-01-05T08:53:00Z</dcterms:created>
  <dc:creator>见羽</dc:creator>
  <cp:lastModifiedBy>user</cp:lastModifiedBy>
  <cp:lastPrinted>2026-01-14T07:07:00Z</cp:lastPrinted>
  <dcterms:modified xsi:type="dcterms:W3CDTF">2026-01-21T08:23:43Z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796EEEF03A614E62842F8C7E83F6A796_13</vt:lpwstr>
  </property>
  <property fmtid="{D5CDD505-2E9C-101B-9397-08002B2CF9AE}" pid="4" name="KSOTemplateDocerSaveRecord">
    <vt:lpwstr>eyJoZGlkIjoiNmVhYzUyZjlmZjUxYjA4ZGM3YTIyODRjYmZjOGE3NzkiLCJ1c2VySWQiOiIyMjAzMzQ0MjcifQ==</vt:lpwstr>
  </property>
</Properties>
</file>