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eastAsia="方正黑体_GBK"/>
          <w:sz w:val="32"/>
          <w:szCs w:val="32"/>
        </w:rPr>
      </w:pPr>
      <w:r>
        <w:rPr>
          <w:rFonts w:eastAsia="方正黑体_GBK"/>
          <w:sz w:val="32"/>
          <w:szCs w:val="32"/>
        </w:rPr>
        <w:t>附件2</w:t>
      </w:r>
    </w:p>
    <w:p>
      <w:pPr>
        <w:widowControl/>
        <w:spacing w:line="560" w:lineRule="exact"/>
        <w:jc w:val="center"/>
        <w:rPr>
          <w:rFonts w:eastAsia="方正小标宋_GBK"/>
          <w:sz w:val="32"/>
          <w:szCs w:val="32"/>
        </w:rPr>
      </w:pPr>
    </w:p>
    <w:p>
      <w:pPr>
        <w:widowControl/>
        <w:spacing w:line="560" w:lineRule="exact"/>
        <w:jc w:val="center"/>
        <w:rPr>
          <w:rFonts w:eastAsia="方正小标宋_GBK"/>
          <w:sz w:val="44"/>
          <w:szCs w:val="44"/>
          <w:lang w:val="en"/>
        </w:rPr>
      </w:pPr>
      <w:r>
        <w:rPr>
          <w:rFonts w:eastAsia="方正小标宋_GBK"/>
          <w:sz w:val="44"/>
          <w:szCs w:val="44"/>
        </w:rPr>
        <w:t>202</w:t>
      </w:r>
      <w:r>
        <w:rPr>
          <w:rFonts w:eastAsia="方正小标宋_GBK"/>
          <w:sz w:val="44"/>
          <w:szCs w:val="44"/>
          <w:lang w:val="en"/>
        </w:rPr>
        <w:t>2</w:t>
      </w:r>
      <w:r>
        <w:rPr>
          <w:rFonts w:eastAsia="方正小标宋_GBK"/>
          <w:sz w:val="44"/>
          <w:szCs w:val="44"/>
        </w:rPr>
        <w:t>年</w:t>
      </w:r>
      <w:r>
        <w:rPr>
          <w:rFonts w:hint="eastAsia" w:eastAsia="方正小标宋_GBK"/>
          <w:sz w:val="44"/>
          <w:szCs w:val="44"/>
        </w:rPr>
        <w:t>南川区</w:t>
      </w:r>
      <w:r>
        <w:rPr>
          <w:rFonts w:eastAsia="方正小标宋_GBK"/>
          <w:sz w:val="44"/>
          <w:szCs w:val="44"/>
        </w:rPr>
        <w:t>母婴保健与计划生育技术服务机构国家随机监督抽查计划</w:t>
      </w:r>
    </w:p>
    <w:p>
      <w:pPr>
        <w:widowControl/>
        <w:spacing w:line="560" w:lineRule="exact"/>
        <w:ind w:firstLine="880" w:firstLineChars="200"/>
        <w:jc w:val="left"/>
        <w:rPr>
          <w:b/>
          <w:sz w:val="44"/>
          <w:szCs w:val="44"/>
        </w:rPr>
      </w:pPr>
    </w:p>
    <w:p>
      <w:pPr>
        <w:widowControl/>
        <w:spacing w:line="560" w:lineRule="exact"/>
        <w:ind w:firstLine="640" w:firstLineChars="200"/>
        <w:jc w:val="left"/>
        <w:rPr>
          <w:rFonts w:eastAsia="仿宋"/>
          <w:sz w:val="32"/>
          <w:szCs w:val="32"/>
        </w:rPr>
      </w:pPr>
      <w:r>
        <w:rPr>
          <w:rFonts w:hint="eastAsia" w:ascii="方正黑体_GBK" w:hAnsi="方正黑体_GBK" w:eastAsia="方正黑体_GBK" w:cs="方正黑体_GBK"/>
          <w:sz w:val="32"/>
          <w:szCs w:val="32"/>
        </w:rPr>
        <w:t>一、工作任务</w:t>
      </w:r>
      <w:r>
        <w:rPr>
          <w:rFonts w:eastAsia="仿宋"/>
          <w:sz w:val="32"/>
          <w:szCs w:val="32"/>
        </w:rPr>
        <w:t xml:space="preserve"> </w:t>
      </w:r>
    </w:p>
    <w:p>
      <w:pPr>
        <w:widowControl/>
        <w:spacing w:line="560" w:lineRule="exact"/>
        <w:ind w:firstLine="640" w:firstLineChars="200"/>
        <w:jc w:val="left"/>
        <w:rPr>
          <w:rFonts w:eastAsia="方正仿宋_GBK"/>
          <w:sz w:val="32"/>
          <w:szCs w:val="32"/>
        </w:rPr>
      </w:pPr>
      <w:r>
        <w:rPr>
          <w:rFonts w:eastAsia="方正楷体_GBK"/>
          <w:sz w:val="32"/>
          <w:szCs w:val="32"/>
        </w:rPr>
        <w:t>（一）母婴保健与计划生育随机监督抽查。</w:t>
      </w:r>
      <w:r>
        <w:rPr>
          <w:rFonts w:eastAsia="方正仿宋_GBK"/>
          <w:sz w:val="32"/>
          <w:szCs w:val="32"/>
        </w:rPr>
        <w:t>抽取辖区内</w:t>
      </w:r>
      <w:r>
        <w:rPr>
          <w:rFonts w:eastAsia="方正仿宋_GBK"/>
          <w:sz w:val="32"/>
          <w:szCs w:val="32"/>
          <w:lang w:val="en"/>
        </w:rPr>
        <w:t>的</w:t>
      </w:r>
      <w:r>
        <w:rPr>
          <w:rFonts w:eastAsia="方正仿宋_GBK"/>
          <w:sz w:val="32"/>
          <w:szCs w:val="32"/>
        </w:rPr>
        <w:t>妇幼保健院</w:t>
      </w:r>
      <w:r>
        <w:rPr>
          <w:rFonts w:hint="eastAsia" w:eastAsia="方正仿宋_GBK"/>
          <w:sz w:val="32"/>
          <w:szCs w:val="32"/>
          <w:lang w:val="en-US" w:eastAsia="zh-CN"/>
        </w:rPr>
        <w:t>1家</w:t>
      </w:r>
      <w:r>
        <w:rPr>
          <w:rFonts w:eastAsia="方正仿宋_GBK"/>
          <w:sz w:val="32"/>
          <w:szCs w:val="32"/>
        </w:rPr>
        <w:t>、</w:t>
      </w:r>
      <w:r>
        <w:rPr>
          <w:rFonts w:eastAsia="方正仿宋_GBK"/>
          <w:color w:val="auto"/>
          <w:sz w:val="32"/>
          <w:szCs w:val="32"/>
        </w:rPr>
        <w:t>妇幼保健计划生育技术服务机构和从事母婴保健技术服务和计划生育技术服务的医疗机构</w:t>
      </w:r>
      <w:r>
        <w:rPr>
          <w:rFonts w:hint="eastAsia" w:eastAsia="方正仿宋_GBK"/>
          <w:color w:val="auto"/>
          <w:sz w:val="32"/>
          <w:szCs w:val="32"/>
        </w:rPr>
        <w:t>6家</w:t>
      </w:r>
      <w:r>
        <w:rPr>
          <w:rFonts w:eastAsia="方正仿宋_GBK"/>
          <w:sz w:val="32"/>
          <w:szCs w:val="32"/>
        </w:rPr>
        <w:t>。</w:t>
      </w:r>
      <w:r>
        <w:rPr>
          <w:rFonts w:eastAsia="方正仿宋_GBK"/>
          <w:spacing w:val="-6"/>
          <w:sz w:val="32"/>
          <w:szCs w:val="32"/>
        </w:rPr>
        <w:t>具体抽查单位见</w:t>
      </w:r>
      <w:r>
        <w:rPr>
          <w:rFonts w:eastAsia="方正仿宋_GBK"/>
          <w:color w:val="000000"/>
          <w:spacing w:val="-6"/>
          <w:kern w:val="0"/>
          <w:sz w:val="32"/>
          <w:szCs w:val="32"/>
          <w:lang w:bidi="ar"/>
        </w:rPr>
        <w:t>市执法平台</w:t>
      </w:r>
      <w:r>
        <w:rPr>
          <w:rFonts w:eastAsia="方正仿宋_GBK"/>
          <w:color w:val="000000"/>
          <w:spacing w:val="-6"/>
          <w:sz w:val="32"/>
        </w:rPr>
        <w:t>双随机名单</w:t>
      </w:r>
      <w:r>
        <w:rPr>
          <w:rFonts w:eastAsia="方正仿宋_GBK"/>
          <w:spacing w:val="-6"/>
          <w:sz w:val="32"/>
          <w:szCs w:val="32"/>
        </w:rPr>
        <w:t>，检查内容见附表1。</w:t>
      </w:r>
      <w:r>
        <w:rPr>
          <w:rFonts w:eastAsia="方正仿宋_GBK"/>
          <w:sz w:val="32"/>
          <w:szCs w:val="32"/>
        </w:rPr>
        <w:t xml:space="preserve"> </w:t>
      </w:r>
    </w:p>
    <w:p>
      <w:pPr>
        <w:widowControl/>
        <w:spacing w:line="594" w:lineRule="exact"/>
        <w:ind w:firstLine="640" w:firstLineChars="200"/>
        <w:jc w:val="left"/>
        <w:rPr>
          <w:rFonts w:eastAsia="方正仿宋_GBK"/>
          <w:sz w:val="32"/>
          <w:szCs w:val="32"/>
        </w:rPr>
      </w:pPr>
      <w:r>
        <w:rPr>
          <w:rFonts w:eastAsia="方正楷体_GBK"/>
          <w:sz w:val="32"/>
          <w:szCs w:val="32"/>
        </w:rPr>
        <w:t>（二）“回头看”监督检查。</w:t>
      </w:r>
      <w:r>
        <w:rPr>
          <w:rFonts w:eastAsia="方正仿宋_GBK"/>
          <w:color w:val="000000"/>
          <w:sz w:val="32"/>
          <w:szCs w:val="32"/>
        </w:rPr>
        <w:t>巩固打击非法应用人类辅助生殖技术违法违规行为专项</w:t>
      </w:r>
      <w:r>
        <w:rPr>
          <w:rFonts w:hint="eastAsia" w:eastAsia="方正仿宋_GBK"/>
          <w:color w:val="000000"/>
          <w:sz w:val="32"/>
          <w:szCs w:val="32"/>
        </w:rPr>
        <w:t>整治</w:t>
      </w:r>
      <w:r>
        <w:rPr>
          <w:rFonts w:eastAsia="方正仿宋_GBK"/>
          <w:color w:val="000000"/>
          <w:sz w:val="32"/>
          <w:szCs w:val="32"/>
        </w:rPr>
        <w:t>工作成效，并对2021年母婴保健与计划生育随机监督抽查受到行政处罚的单位</w:t>
      </w:r>
      <w:r>
        <w:rPr>
          <w:rFonts w:eastAsia="方正仿宋_GBK"/>
          <w:sz w:val="32"/>
          <w:szCs w:val="32"/>
        </w:rPr>
        <w:t>，开展“回头看”监督检查，重点查看其整改落实情况。</w:t>
      </w:r>
    </w:p>
    <w:p>
      <w:pPr>
        <w:widowControl/>
        <w:spacing w:line="56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rPr>
        <w:t>二、</w:t>
      </w:r>
      <w:r>
        <w:rPr>
          <w:rFonts w:hint="eastAsia" w:ascii="方正黑体_GBK" w:hAnsi="方正黑体_GBK" w:eastAsia="方正黑体_GBK" w:cs="方正黑体_GBK"/>
          <w:sz w:val="32"/>
          <w:szCs w:val="32"/>
        </w:rPr>
        <w:t xml:space="preserve">工作要求 </w:t>
      </w:r>
    </w:p>
    <w:p>
      <w:pPr>
        <w:spacing w:line="560" w:lineRule="exact"/>
        <w:ind w:firstLine="640" w:firstLineChars="200"/>
        <w:rPr>
          <w:rFonts w:eastAsia="方正仿宋_GBK"/>
          <w:sz w:val="32"/>
        </w:rPr>
      </w:pPr>
      <w:r>
        <w:rPr>
          <w:rFonts w:hint="eastAsia" w:eastAsia="方正仿宋_GBK"/>
          <w:kern w:val="0"/>
          <w:sz w:val="32"/>
          <w:szCs w:val="32"/>
        </w:rPr>
        <w:t>区卫生健康执法支队</w:t>
      </w:r>
      <w:r>
        <w:rPr>
          <w:rFonts w:eastAsia="方正仿宋_GBK"/>
          <w:sz w:val="32"/>
        </w:rPr>
        <w:t>于11月4日前通过市执法平台在线填报模块填报“回头看”监督检查情况汇总表（附表2），并将母婴保健与计划生育监督抽查工作总结以纸质件和电子版形式报送至市卫生健康执法总队。</w:t>
      </w:r>
    </w:p>
    <w:p>
      <w:pPr>
        <w:pStyle w:val="2"/>
        <w:rPr>
          <w:rFonts w:eastAsia="方正仿宋_GBK"/>
          <w:sz w:val="32"/>
        </w:rPr>
      </w:pPr>
    </w:p>
    <w:p>
      <w:pPr>
        <w:widowControl/>
        <w:spacing w:line="560" w:lineRule="exact"/>
        <w:ind w:left="1918" w:leftChars="304" w:hanging="1280" w:hangingChars="400"/>
        <w:jc w:val="left"/>
        <w:rPr>
          <w:rFonts w:eastAsia="方正仿宋_GBK"/>
          <w:sz w:val="32"/>
          <w:szCs w:val="32"/>
        </w:rPr>
      </w:pPr>
      <w:r>
        <w:rPr>
          <w:rFonts w:eastAsia="方正仿宋_GBK"/>
          <w:sz w:val="32"/>
          <w:szCs w:val="32"/>
        </w:rPr>
        <w:t>附表：1.2022年母婴保健与计划生育技术服务机构国家随机监督抽查工作计划表</w:t>
      </w:r>
    </w:p>
    <w:p>
      <w:pPr>
        <w:widowControl/>
        <w:spacing w:line="560" w:lineRule="exact"/>
        <w:ind w:left="1916" w:leftChars="760" w:hanging="320" w:hangingChars="100"/>
        <w:jc w:val="left"/>
        <w:rPr>
          <w:rFonts w:eastAsia="方正仿宋_GBK"/>
          <w:sz w:val="32"/>
          <w:szCs w:val="32"/>
        </w:rPr>
      </w:pPr>
      <w:r>
        <w:rPr>
          <w:rFonts w:eastAsia="方正仿宋_GBK"/>
          <w:sz w:val="32"/>
          <w:szCs w:val="32"/>
        </w:rPr>
        <w:t>2.母婴保健与计划生育技术服务机构随机监督抽查“回头看”检查情况汇总表</w:t>
      </w:r>
    </w:p>
    <w:p>
      <w:pPr>
        <w:spacing w:line="360" w:lineRule="auto"/>
        <w:rPr>
          <w:b/>
          <w:sz w:val="44"/>
          <w:szCs w:val="44"/>
        </w:rPr>
        <w:sectPr>
          <w:pgSz w:w="11906" w:h="16838"/>
          <w:pgMar w:top="2098" w:right="1474" w:bottom="1984" w:left="1587" w:header="851" w:footer="992" w:gutter="0"/>
          <w:pgNumType w:fmt="numberInDash"/>
          <w:cols w:space="720" w:num="1"/>
          <w:docGrid w:type="linesAndChars" w:linePitch="312" w:charSpace="0"/>
        </w:sectPr>
      </w:pPr>
    </w:p>
    <w:p>
      <w:pPr>
        <w:spacing w:line="360" w:lineRule="auto"/>
        <w:rPr>
          <w:b/>
          <w:sz w:val="36"/>
          <w:szCs w:val="36"/>
        </w:rPr>
      </w:pPr>
      <w:r>
        <w:rPr>
          <w:b/>
          <w:sz w:val="36"/>
          <w:szCs w:val="36"/>
        </w:rPr>
        <w:t>附表1</w:t>
      </w:r>
    </w:p>
    <w:p>
      <w:pPr>
        <w:spacing w:line="360" w:lineRule="auto"/>
        <w:ind w:firstLine="1084" w:firstLineChars="300"/>
        <w:rPr>
          <w:b/>
          <w:sz w:val="36"/>
          <w:szCs w:val="36"/>
        </w:rPr>
      </w:pPr>
      <w:r>
        <w:rPr>
          <w:b/>
          <w:sz w:val="36"/>
          <w:szCs w:val="36"/>
        </w:rPr>
        <w:t>2022年母婴保健</w:t>
      </w:r>
      <w:r>
        <w:rPr>
          <w:rFonts w:hint="eastAsia"/>
          <w:b/>
          <w:sz w:val="36"/>
          <w:szCs w:val="36"/>
        </w:rPr>
        <w:t>与</w:t>
      </w:r>
      <w:r>
        <w:rPr>
          <w:b/>
          <w:sz w:val="36"/>
          <w:szCs w:val="36"/>
        </w:rPr>
        <w:t>计划生育技术服务机构国家随机监督抽查工作计划表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737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方正黑体_GBK"/>
                <w:sz w:val="24"/>
              </w:rPr>
            </w:pPr>
            <w:r>
              <w:rPr>
                <w:rFonts w:eastAsia="方正黑体_GBK"/>
                <w:sz w:val="24"/>
              </w:rPr>
              <w:t>序号</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方正黑体_GBK"/>
                <w:sz w:val="24"/>
              </w:rPr>
            </w:pPr>
            <w:r>
              <w:rPr>
                <w:rFonts w:eastAsia="方正黑体_GBK"/>
                <w:sz w:val="24"/>
              </w:rPr>
              <w:t>监督检查对象</w:t>
            </w:r>
          </w:p>
        </w:tc>
        <w:tc>
          <w:tcPr>
            <w:tcW w:w="73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方正黑体_GBK"/>
                <w:sz w:val="24"/>
              </w:rPr>
            </w:pPr>
            <w:r>
              <w:rPr>
                <w:rFonts w:eastAsia="方正黑体_GBK"/>
                <w:sz w:val="24"/>
              </w:rPr>
              <w:t>检查内容</w:t>
            </w:r>
          </w:p>
        </w:tc>
        <w:tc>
          <w:tcPr>
            <w:tcW w:w="159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黑体_GBK"/>
                <w:sz w:val="24"/>
              </w:rPr>
            </w:pPr>
            <w:r>
              <w:rPr>
                <w:rFonts w:eastAsia="方正黑体_GBK"/>
                <w:sz w:val="24"/>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方正黑体_GBK"/>
                <w:sz w:val="24"/>
              </w:rPr>
            </w:pPr>
            <w:r>
              <w:rPr>
                <w:rFonts w:eastAsia="方正黑体_GBK"/>
                <w:sz w:val="24"/>
              </w:rPr>
              <w:t>妇幼保健院</w:t>
            </w:r>
            <w:r>
              <w:rPr>
                <w:rFonts w:hint="eastAsia" w:eastAsia="方正黑体_GBK"/>
                <w:sz w:val="24"/>
              </w:rPr>
              <w:t>1家</w:t>
            </w:r>
          </w:p>
        </w:tc>
        <w:tc>
          <w:tcPr>
            <w:tcW w:w="7371" w:type="dxa"/>
            <w:vMerge w:val="restart"/>
            <w:tcBorders>
              <w:top w:val="single" w:color="auto" w:sz="4" w:space="0"/>
              <w:left w:val="single" w:color="auto" w:sz="4" w:space="0"/>
              <w:right w:val="single" w:color="auto" w:sz="4" w:space="0"/>
            </w:tcBorders>
            <w:noWrap w:val="0"/>
            <w:vAlign w:val="top"/>
          </w:tcPr>
          <w:p>
            <w:pPr>
              <w:spacing w:line="360" w:lineRule="exact"/>
              <w:rPr>
                <w:rFonts w:eastAsia="方正黑体_GBK"/>
                <w:szCs w:val="21"/>
              </w:rPr>
            </w:pPr>
            <w:r>
              <w:rPr>
                <w:rFonts w:eastAsia="方正黑体_GBK"/>
                <w:szCs w:val="21"/>
              </w:rPr>
              <w:t>1.机构及人员资质情况。开展母婴保健技术服务的机构执业资质和人员执业资格情况；开展计划生育技术服</w:t>
            </w:r>
            <w:bookmarkStart w:id="0" w:name="_GoBack"/>
            <w:bookmarkEnd w:id="0"/>
            <w:r>
              <w:rPr>
                <w:rFonts w:eastAsia="方正黑体_GBK"/>
                <w:szCs w:val="21"/>
              </w:rPr>
              <w:t>务的机构执业资质和人员执业资格情况；开展人类辅助生殖技术等服务的机构执业资质情况；开展人类精子库的机构执业资质情况；</w:t>
            </w:r>
          </w:p>
          <w:p>
            <w:pPr>
              <w:spacing w:line="360" w:lineRule="exact"/>
              <w:rPr>
                <w:rFonts w:eastAsia="方正黑体_GBK"/>
                <w:szCs w:val="21"/>
              </w:rPr>
            </w:pPr>
            <w:r>
              <w:rPr>
                <w:rFonts w:eastAsia="方正黑体_GBK"/>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spacing w:line="360" w:lineRule="exact"/>
              <w:rPr>
                <w:rFonts w:eastAsia="方正黑体_GBK"/>
                <w:sz w:val="24"/>
              </w:rPr>
            </w:pPr>
            <w:r>
              <w:rPr>
                <w:rFonts w:eastAsia="方正黑体_GBK"/>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right w:val="single" w:color="auto" w:sz="4" w:space="0"/>
            </w:tcBorders>
            <w:noWrap w:val="0"/>
            <w:vAlign w:val="top"/>
          </w:tcPr>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p>
          <w:p>
            <w:pPr>
              <w:spacing w:line="360" w:lineRule="exact"/>
              <w:rPr>
                <w:rFonts w:eastAsia="方正黑体_GBK"/>
                <w:sz w:val="24"/>
              </w:rPr>
            </w:pPr>
            <w:r>
              <w:rPr>
                <w:rFonts w:eastAsia="方正黑体_GBK"/>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方正黑体_GBK"/>
                <w:sz w:val="24"/>
              </w:rPr>
            </w:pPr>
            <w:r>
              <w:rPr>
                <w:rFonts w:hint="eastAsia" w:eastAsia="方正黑体_GBK"/>
                <w:sz w:val="24"/>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方正黑体_GBK"/>
                <w:sz w:val="24"/>
              </w:rPr>
            </w:pPr>
            <w:r>
              <w:rPr>
                <w:rFonts w:eastAsia="方正黑体_GBK"/>
                <w:sz w:val="24"/>
              </w:rPr>
              <w:t>其他医疗、保健机构</w:t>
            </w:r>
            <w:r>
              <w:rPr>
                <w:rFonts w:hint="eastAsia" w:eastAsia="方正黑体_GBK"/>
                <w:sz w:val="24"/>
              </w:rPr>
              <w:t>5家</w:t>
            </w:r>
          </w:p>
        </w:tc>
        <w:tc>
          <w:tcPr>
            <w:tcW w:w="7371"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sz w:val="24"/>
              </w:rPr>
            </w:pPr>
          </w:p>
        </w:tc>
        <w:tc>
          <w:tcPr>
            <w:tcW w:w="1592" w:type="dxa"/>
            <w:vMerge w:val="continue"/>
            <w:tcBorders>
              <w:left w:val="single" w:color="auto" w:sz="4" w:space="0"/>
              <w:bottom w:val="single" w:color="auto" w:sz="4" w:space="0"/>
              <w:right w:val="single" w:color="auto" w:sz="4" w:space="0"/>
            </w:tcBorders>
            <w:noWrap w:val="0"/>
            <w:vAlign w:val="top"/>
          </w:tcPr>
          <w:p>
            <w:pPr>
              <w:spacing w:line="360" w:lineRule="exact"/>
              <w:rPr>
                <w:rFonts w:eastAsia="仿宋_GB2312"/>
                <w:sz w:val="24"/>
              </w:rPr>
            </w:pPr>
          </w:p>
        </w:tc>
      </w:tr>
    </w:tbl>
    <w:p/>
    <w:p>
      <w:pPr>
        <w:spacing w:line="440" w:lineRule="exact"/>
        <w:rPr>
          <w:rFonts w:eastAsia="方正黑体_GBK"/>
          <w:bCs/>
          <w:sz w:val="32"/>
          <w:szCs w:val="32"/>
        </w:rPr>
      </w:pPr>
      <w:r>
        <w:rPr>
          <w:rFonts w:eastAsia="方正黑体_GBK"/>
          <w:bCs/>
          <w:sz w:val="32"/>
          <w:szCs w:val="32"/>
        </w:rPr>
        <w:t>附表2</w:t>
      </w:r>
    </w:p>
    <w:p>
      <w:pPr>
        <w:spacing w:line="360" w:lineRule="auto"/>
        <w:jc w:val="center"/>
        <w:rPr>
          <w:b/>
          <w:sz w:val="36"/>
          <w:szCs w:val="36"/>
        </w:rPr>
      </w:pPr>
      <w:r>
        <w:rPr>
          <w:b/>
          <w:sz w:val="36"/>
          <w:szCs w:val="36"/>
        </w:rPr>
        <w:t>母婴保健与计划生育技术服务机构随机监督抽查</w:t>
      </w:r>
    </w:p>
    <w:p>
      <w:pPr>
        <w:spacing w:line="360" w:lineRule="auto"/>
        <w:jc w:val="center"/>
        <w:rPr>
          <w:b/>
          <w:sz w:val="36"/>
          <w:szCs w:val="36"/>
        </w:rPr>
      </w:pPr>
      <w:r>
        <w:rPr>
          <w:b/>
          <w:sz w:val="36"/>
          <w:szCs w:val="36"/>
        </w:rPr>
        <w:t>“回头看”监督检查情况汇总表</w:t>
      </w:r>
    </w:p>
    <w:p>
      <w:pPr>
        <w:spacing w:line="560" w:lineRule="exact"/>
        <w:rPr>
          <w:b/>
          <w:sz w:val="40"/>
          <w:szCs w:val="40"/>
        </w:rPr>
      </w:pPr>
      <w:r>
        <w:rPr>
          <w:rFonts w:eastAsia="方正仿宋_GBK"/>
          <w:sz w:val="28"/>
          <w:szCs w:val="28"/>
          <w:u w:val="single"/>
        </w:rPr>
        <w:t xml:space="preserve">                  </w:t>
      </w:r>
      <w:r>
        <w:rPr>
          <w:rFonts w:eastAsia="方正仿宋_GBK"/>
          <w:sz w:val="28"/>
          <w:szCs w:val="28"/>
        </w:rPr>
        <w:t>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403"/>
        <w:gridCol w:w="1485"/>
        <w:gridCol w:w="1320"/>
        <w:gridCol w:w="1215"/>
        <w:gridCol w:w="1230"/>
        <w:gridCol w:w="1320"/>
        <w:gridCol w:w="1470"/>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黑体_GBK"/>
                <w:sz w:val="24"/>
                <w:szCs w:val="22"/>
              </w:rPr>
            </w:pPr>
            <w:r>
              <w:rPr>
                <w:rFonts w:eastAsia="方正黑体_GBK"/>
                <w:sz w:val="24"/>
              </w:rPr>
              <w:t>“回头看”事项类别</w:t>
            </w:r>
          </w:p>
        </w:tc>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黑体_GBK"/>
                <w:sz w:val="24"/>
              </w:rPr>
            </w:pPr>
            <w:r>
              <w:rPr>
                <w:rFonts w:eastAsia="方正黑体_GBK"/>
                <w:sz w:val="24"/>
              </w:rPr>
              <w:t>2021年</w:t>
            </w:r>
          </w:p>
          <w:p>
            <w:pPr>
              <w:spacing w:line="360" w:lineRule="exact"/>
              <w:jc w:val="center"/>
              <w:rPr>
                <w:rFonts w:eastAsia="方正黑体_GBK"/>
                <w:sz w:val="24"/>
              </w:rPr>
            </w:pPr>
            <w:r>
              <w:rPr>
                <w:rFonts w:eastAsia="方正黑体_GBK"/>
                <w:sz w:val="24"/>
              </w:rPr>
              <w:t>行政处罚</w:t>
            </w:r>
          </w:p>
          <w:p>
            <w:pPr>
              <w:spacing w:line="360" w:lineRule="exact"/>
              <w:jc w:val="center"/>
              <w:rPr>
                <w:rFonts w:eastAsia="方正黑体_GBK"/>
                <w:sz w:val="24"/>
                <w:szCs w:val="22"/>
              </w:rPr>
            </w:pPr>
            <w:r>
              <w:rPr>
                <w:rFonts w:eastAsia="方正黑体_GBK"/>
                <w:sz w:val="24"/>
              </w:rPr>
              <w:t>案件数</w:t>
            </w:r>
          </w:p>
        </w:tc>
        <w:tc>
          <w:tcPr>
            <w:tcW w:w="14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黑体_GBK"/>
                <w:sz w:val="24"/>
                <w:szCs w:val="22"/>
              </w:rPr>
            </w:pPr>
            <w:r>
              <w:rPr>
                <w:rFonts w:eastAsia="方正黑体_GBK"/>
                <w:sz w:val="24"/>
              </w:rPr>
              <w:t>未完成整改单位数</w:t>
            </w:r>
          </w:p>
        </w:tc>
        <w:tc>
          <w:tcPr>
            <w:tcW w:w="900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黑体_GBK"/>
                <w:sz w:val="28"/>
                <w:szCs w:val="28"/>
              </w:rPr>
            </w:pPr>
            <w:r>
              <w:rPr>
                <w:rFonts w:eastAsia="方正黑体_GBK"/>
                <w:sz w:val="28"/>
                <w:szCs w:val="28"/>
              </w:rPr>
              <w:t>“回头看”行政处罚情况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9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方正黑体_GBK"/>
                <w:sz w:val="28"/>
              </w:rPr>
            </w:pPr>
          </w:p>
        </w:tc>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方正黑体_GBK"/>
                <w:sz w:val="28"/>
              </w:rPr>
            </w:pPr>
          </w:p>
        </w:tc>
        <w:tc>
          <w:tcPr>
            <w:tcW w:w="14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方正黑体_GBK"/>
                <w:sz w:val="28"/>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方正黑体_GBK"/>
                <w:kern w:val="0"/>
                <w:sz w:val="22"/>
                <w:szCs w:val="22"/>
              </w:rPr>
            </w:pPr>
            <w:r>
              <w:rPr>
                <w:rFonts w:eastAsia="方正黑体_GBK"/>
                <w:kern w:val="0"/>
                <w:sz w:val="22"/>
                <w:szCs w:val="22"/>
              </w:rPr>
              <w:t>行政处罚</w:t>
            </w:r>
          </w:p>
          <w:p>
            <w:pPr>
              <w:widowControl/>
              <w:spacing w:line="360" w:lineRule="exact"/>
              <w:jc w:val="center"/>
              <w:rPr>
                <w:rFonts w:eastAsia="方正黑体_GBK"/>
                <w:sz w:val="28"/>
                <w:szCs w:val="28"/>
              </w:rPr>
            </w:pPr>
            <w:r>
              <w:rPr>
                <w:rFonts w:eastAsia="方正黑体_GBK"/>
                <w:kern w:val="0"/>
                <w:sz w:val="22"/>
                <w:szCs w:val="22"/>
              </w:rPr>
              <w:t>（户次）</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方正黑体_GBK"/>
                <w:sz w:val="28"/>
                <w:szCs w:val="28"/>
              </w:rPr>
            </w:pPr>
            <w:r>
              <w:rPr>
                <w:rFonts w:eastAsia="方正黑体_GBK"/>
                <w:kern w:val="0"/>
                <w:sz w:val="22"/>
                <w:szCs w:val="22"/>
              </w:rPr>
              <w:t>罚款金额（万元）</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方正黑体_GBK"/>
                <w:sz w:val="28"/>
                <w:szCs w:val="28"/>
              </w:rPr>
            </w:pPr>
            <w:r>
              <w:rPr>
                <w:rFonts w:eastAsia="方正黑体_GBK"/>
                <w:kern w:val="0"/>
                <w:sz w:val="22"/>
                <w:szCs w:val="22"/>
              </w:rPr>
              <w:t>没收金额（万元）</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方正黑体_GBK"/>
                <w:kern w:val="0"/>
                <w:sz w:val="22"/>
                <w:szCs w:val="22"/>
              </w:rPr>
            </w:pPr>
            <w:r>
              <w:rPr>
                <w:rFonts w:eastAsia="方正黑体_GBK"/>
                <w:kern w:val="0"/>
                <w:sz w:val="22"/>
                <w:szCs w:val="22"/>
              </w:rPr>
              <w:t>吊销机构</w:t>
            </w:r>
          </w:p>
          <w:p>
            <w:pPr>
              <w:widowControl/>
              <w:spacing w:line="360" w:lineRule="exact"/>
              <w:jc w:val="center"/>
              <w:rPr>
                <w:rFonts w:eastAsia="方正黑体_GBK"/>
                <w:kern w:val="0"/>
                <w:sz w:val="22"/>
                <w:szCs w:val="22"/>
              </w:rPr>
            </w:pPr>
            <w:r>
              <w:rPr>
                <w:rFonts w:eastAsia="方正黑体_GBK"/>
                <w:kern w:val="0"/>
                <w:sz w:val="22"/>
                <w:szCs w:val="22"/>
              </w:rPr>
              <w:t>执业许可证</w:t>
            </w:r>
          </w:p>
          <w:p>
            <w:pPr>
              <w:widowControl/>
              <w:spacing w:line="360" w:lineRule="exact"/>
              <w:jc w:val="center"/>
              <w:rPr>
                <w:rFonts w:eastAsia="方正黑体_GBK"/>
                <w:sz w:val="28"/>
                <w:szCs w:val="28"/>
              </w:rPr>
            </w:pPr>
            <w:r>
              <w:rPr>
                <w:rFonts w:eastAsia="方正黑体_GBK"/>
                <w:kern w:val="0"/>
                <w:sz w:val="22"/>
                <w:szCs w:val="22"/>
              </w:rPr>
              <w:t>（户）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方正黑体_GBK"/>
                <w:kern w:val="0"/>
                <w:sz w:val="22"/>
                <w:szCs w:val="22"/>
              </w:rPr>
            </w:pPr>
            <w:r>
              <w:rPr>
                <w:rFonts w:eastAsia="方正黑体_GBK"/>
                <w:kern w:val="0"/>
                <w:sz w:val="22"/>
                <w:szCs w:val="22"/>
              </w:rPr>
              <w:t>吊销技术</w:t>
            </w:r>
          </w:p>
          <w:p>
            <w:pPr>
              <w:widowControl/>
              <w:spacing w:line="360" w:lineRule="exact"/>
              <w:jc w:val="center"/>
              <w:rPr>
                <w:rFonts w:eastAsia="方正黑体_GBK"/>
                <w:kern w:val="0"/>
                <w:sz w:val="22"/>
                <w:szCs w:val="22"/>
              </w:rPr>
            </w:pPr>
            <w:r>
              <w:rPr>
                <w:rFonts w:eastAsia="方正黑体_GBK"/>
                <w:kern w:val="0"/>
                <w:sz w:val="22"/>
                <w:szCs w:val="22"/>
              </w:rPr>
              <w:t>人员执业</w:t>
            </w:r>
          </w:p>
          <w:p>
            <w:pPr>
              <w:widowControl/>
              <w:spacing w:line="360" w:lineRule="exact"/>
              <w:jc w:val="center"/>
              <w:rPr>
                <w:rFonts w:eastAsia="方正黑体_GBK"/>
                <w:kern w:val="0"/>
                <w:sz w:val="22"/>
                <w:szCs w:val="22"/>
              </w:rPr>
            </w:pPr>
            <w:r>
              <w:rPr>
                <w:rFonts w:eastAsia="方正黑体_GBK"/>
                <w:kern w:val="0"/>
                <w:sz w:val="22"/>
                <w:szCs w:val="22"/>
              </w:rPr>
              <w:t>资格证</w:t>
            </w:r>
          </w:p>
          <w:p>
            <w:pPr>
              <w:widowControl/>
              <w:spacing w:line="360" w:lineRule="exact"/>
              <w:jc w:val="center"/>
              <w:rPr>
                <w:rFonts w:eastAsia="方正黑体_GBK"/>
                <w:sz w:val="28"/>
                <w:szCs w:val="28"/>
              </w:rPr>
            </w:pPr>
            <w:r>
              <w:rPr>
                <w:rFonts w:eastAsia="方正黑体_GBK"/>
                <w:kern w:val="0"/>
                <w:sz w:val="22"/>
                <w:szCs w:val="22"/>
              </w:rPr>
              <w:t>（人）</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方正黑体_GBK"/>
                <w:kern w:val="0"/>
                <w:sz w:val="22"/>
                <w:szCs w:val="22"/>
              </w:rPr>
            </w:pPr>
            <w:r>
              <w:rPr>
                <w:rFonts w:eastAsia="方正黑体_GBK"/>
                <w:kern w:val="0"/>
                <w:sz w:val="22"/>
                <w:szCs w:val="22"/>
              </w:rPr>
              <w:t>移送</w:t>
            </w:r>
          </w:p>
          <w:p>
            <w:pPr>
              <w:widowControl/>
              <w:spacing w:line="360" w:lineRule="exact"/>
              <w:jc w:val="center"/>
              <w:rPr>
                <w:rFonts w:eastAsia="方正黑体_GBK"/>
                <w:kern w:val="0"/>
                <w:sz w:val="22"/>
                <w:szCs w:val="22"/>
              </w:rPr>
            </w:pPr>
            <w:r>
              <w:rPr>
                <w:rFonts w:eastAsia="方正黑体_GBK"/>
                <w:kern w:val="0"/>
                <w:sz w:val="22"/>
                <w:szCs w:val="22"/>
              </w:rPr>
              <w:t>其他部门</w:t>
            </w:r>
          </w:p>
          <w:p>
            <w:pPr>
              <w:widowControl/>
              <w:spacing w:line="360" w:lineRule="exact"/>
              <w:jc w:val="center"/>
              <w:rPr>
                <w:rFonts w:eastAsia="方正黑体_GBK"/>
                <w:sz w:val="28"/>
                <w:szCs w:val="28"/>
              </w:rPr>
            </w:pPr>
            <w:r>
              <w:rPr>
                <w:rFonts w:eastAsia="方正黑体_GBK"/>
                <w:kern w:val="0"/>
                <w:sz w:val="22"/>
                <w:szCs w:val="22"/>
              </w:rPr>
              <w:t>（件）</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方正黑体_GBK"/>
                <w:kern w:val="0"/>
                <w:sz w:val="22"/>
                <w:szCs w:val="22"/>
              </w:rPr>
            </w:pPr>
            <w:r>
              <w:rPr>
                <w:rFonts w:eastAsia="方正黑体_GBK"/>
                <w:kern w:val="0"/>
                <w:sz w:val="22"/>
                <w:szCs w:val="22"/>
              </w:rPr>
              <w:t>追究</w:t>
            </w:r>
          </w:p>
          <w:p>
            <w:pPr>
              <w:widowControl/>
              <w:spacing w:line="360" w:lineRule="exact"/>
              <w:jc w:val="center"/>
              <w:rPr>
                <w:rFonts w:eastAsia="方正黑体_GBK"/>
                <w:kern w:val="0"/>
                <w:sz w:val="22"/>
                <w:szCs w:val="22"/>
              </w:rPr>
            </w:pPr>
            <w:r>
              <w:rPr>
                <w:rFonts w:eastAsia="方正黑体_GBK"/>
                <w:kern w:val="0"/>
                <w:sz w:val="22"/>
                <w:szCs w:val="22"/>
              </w:rPr>
              <w:t>刑事责任</w:t>
            </w:r>
          </w:p>
          <w:p>
            <w:pPr>
              <w:widowControl/>
              <w:spacing w:line="360" w:lineRule="exact"/>
              <w:jc w:val="center"/>
              <w:rPr>
                <w:rFonts w:eastAsia="方正黑体_GBK"/>
                <w:sz w:val="28"/>
                <w:szCs w:val="28"/>
              </w:rPr>
            </w:pPr>
            <w:r>
              <w:rPr>
                <w:rFonts w:eastAsia="方正黑体_GBK"/>
                <w:kern w:val="0"/>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19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rPr>
            </w:pPr>
            <w:r>
              <w:rPr>
                <w:rFonts w:eastAsia="方正黑体_GBK"/>
                <w:sz w:val="24"/>
              </w:rPr>
              <w:t>2021年重庆市母婴保健与计划生育随机监督抽查被处罚单位</w:t>
            </w:r>
          </w:p>
          <w:p>
            <w:pPr>
              <w:spacing w:line="400" w:lineRule="exact"/>
              <w:jc w:val="center"/>
              <w:rPr>
                <w:rFonts w:eastAsia="方正黑体_GBK"/>
              </w:rPr>
            </w:pPr>
            <w:r>
              <w:rPr>
                <w:rFonts w:eastAsia="方正黑体_GBK"/>
                <w:sz w:val="24"/>
              </w:rPr>
              <w:t>整改情况</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b/>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szCs w:val="22"/>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szCs w:val="22"/>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szCs w:val="22"/>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szCs w:val="22"/>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sz w:val="24"/>
                <w:szCs w:val="22"/>
              </w:rPr>
            </w:pPr>
          </w:p>
        </w:tc>
      </w:tr>
    </w:tbl>
    <w:p>
      <w:pPr>
        <w:spacing w:line="440" w:lineRule="exact"/>
        <w:rPr>
          <w:rFonts w:eastAsia="黑体"/>
          <w:sz w:val="32"/>
          <w:szCs w:val="32"/>
        </w:rPr>
      </w:pPr>
    </w:p>
    <w:p>
      <w:pPr>
        <w:spacing w:line="440" w:lineRule="exact"/>
        <w:rPr>
          <w:sz w:val="28"/>
          <w:szCs w:val="28"/>
        </w:rPr>
      </w:pPr>
      <w:r>
        <w:rPr>
          <w:rFonts w:eastAsia="方正仿宋_GBK"/>
          <w:sz w:val="28"/>
          <w:szCs w:val="28"/>
        </w:rPr>
        <w:t>填表人：             填表时间：               联系电话：                  审核人：</w:t>
      </w:r>
    </w:p>
    <w:p>
      <w:r>
        <w:rPr>
          <w:sz w:val="24"/>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058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2022-08-12T01:39:45Z</dcterms:created>
  <dc:creator>vivoBook 15</dc:creator>
  <cp:lastModifiedBy>壳儿</cp:lastModifiedBy>
  <dcterms:modified xsi:type="dcterms:W3CDTF">2022-08-12T01:40:30Z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9664E86891814FB1BC75521C7FFB1CDA</vt:lpwstr>
  </property>
</Properties>
</file>