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4</w:t>
      </w:r>
    </w:p>
    <w:p>
      <w:pPr>
        <w:rPr>
          <w:rFonts w:hint="eastAsia"/>
        </w:rPr>
      </w:pPr>
    </w:p>
    <w:p>
      <w:pPr>
        <w:spacing w:line="594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2022年</w:t>
      </w:r>
      <w:r>
        <w:rPr>
          <w:rFonts w:hint="eastAsia" w:eastAsia="方正小标宋_GBK"/>
          <w:bCs/>
          <w:sz w:val="44"/>
          <w:szCs w:val="44"/>
        </w:rPr>
        <w:t>南川区</w:t>
      </w:r>
      <w:r>
        <w:rPr>
          <w:rFonts w:eastAsia="方正小标宋_GBK"/>
          <w:bCs/>
          <w:sz w:val="44"/>
          <w:szCs w:val="44"/>
        </w:rPr>
        <w:t>公共场所卫生</w:t>
      </w:r>
      <w:r>
        <w:rPr>
          <w:rFonts w:hint="eastAsia" w:eastAsia="方正小标宋_GBK"/>
          <w:bCs/>
          <w:sz w:val="44"/>
          <w:szCs w:val="44"/>
        </w:rPr>
        <w:t>区</w:t>
      </w:r>
      <w:r>
        <w:rPr>
          <w:rFonts w:eastAsia="方正小标宋_GBK"/>
          <w:bCs/>
          <w:sz w:val="44"/>
          <w:szCs w:val="44"/>
        </w:rPr>
        <w:t>随机监督</w:t>
      </w:r>
    </w:p>
    <w:p>
      <w:pPr>
        <w:spacing w:line="594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抽查计划</w:t>
      </w:r>
    </w:p>
    <w:bookmarkEnd w:id="0"/>
    <w:p>
      <w:pPr>
        <w:pStyle w:val="2"/>
      </w:pPr>
    </w:p>
    <w:p>
      <w:pPr>
        <w:spacing w:line="560" w:lineRule="exact"/>
        <w:ind w:firstLine="640" w:firstLineChars="200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一 、</w:t>
      </w:r>
      <w:r>
        <w:rPr>
          <w:rFonts w:eastAsia="方正黑体_GBK"/>
          <w:bCs/>
          <w:sz w:val="32"/>
          <w:szCs w:val="32"/>
        </w:rPr>
        <w:t>工作任务</w:t>
      </w:r>
    </w:p>
    <w:p>
      <w:pPr>
        <w:widowControl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（一）公共场所卫生随机监督抽查。</w:t>
      </w:r>
      <w:r>
        <w:rPr>
          <w:rFonts w:eastAsia="方正仿宋_GBK"/>
          <w:sz w:val="32"/>
          <w:szCs w:val="32"/>
        </w:rPr>
        <w:t>抽查全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人工游泳场所</w:t>
      </w:r>
      <w:r>
        <w:rPr>
          <w:rFonts w:hint="eastAsia" w:eastAsia="方正仿宋_GBK"/>
          <w:sz w:val="32"/>
          <w:szCs w:val="32"/>
        </w:rPr>
        <w:t>10家</w:t>
      </w:r>
      <w:r>
        <w:rPr>
          <w:rFonts w:eastAsia="方正仿宋_GBK"/>
          <w:sz w:val="32"/>
          <w:szCs w:val="32"/>
        </w:rPr>
        <w:t>、住宿场所</w:t>
      </w:r>
      <w:r>
        <w:rPr>
          <w:rFonts w:hint="eastAsia" w:eastAsia="方正仿宋_GBK"/>
          <w:sz w:val="32"/>
          <w:szCs w:val="32"/>
        </w:rPr>
        <w:t>14家</w:t>
      </w:r>
      <w:r>
        <w:rPr>
          <w:rFonts w:eastAsia="方正仿宋_GBK"/>
          <w:sz w:val="32"/>
          <w:szCs w:val="32"/>
        </w:rPr>
        <w:t>，美容美发场所</w:t>
      </w:r>
      <w:r>
        <w:rPr>
          <w:rFonts w:hint="eastAsia" w:eastAsia="方正仿宋_GBK"/>
          <w:sz w:val="32"/>
          <w:szCs w:val="32"/>
        </w:rPr>
        <w:t>20家</w:t>
      </w:r>
      <w:r>
        <w:rPr>
          <w:rFonts w:eastAsia="方正仿宋_GBK"/>
          <w:sz w:val="32"/>
          <w:szCs w:val="32"/>
        </w:rPr>
        <w:t>，沐浴场所</w:t>
      </w:r>
      <w:r>
        <w:rPr>
          <w:rFonts w:hint="eastAsia" w:eastAsia="方正仿宋_GBK"/>
          <w:sz w:val="32"/>
          <w:szCs w:val="32"/>
        </w:rPr>
        <w:t>2家</w:t>
      </w:r>
      <w:r>
        <w:rPr>
          <w:rFonts w:eastAsia="方正仿宋_GBK"/>
          <w:sz w:val="32"/>
          <w:szCs w:val="32"/>
        </w:rPr>
        <w:t>，候车室</w:t>
      </w:r>
      <w:r>
        <w:rPr>
          <w:rFonts w:hint="eastAsia" w:eastAsia="方正仿宋_GBK"/>
          <w:sz w:val="32"/>
          <w:szCs w:val="32"/>
        </w:rPr>
        <w:t>2家</w:t>
      </w:r>
      <w:r>
        <w:rPr>
          <w:rFonts w:eastAsia="方正仿宋_GBK"/>
          <w:sz w:val="32"/>
          <w:szCs w:val="32"/>
        </w:rPr>
        <w:t>，游艺厅</w:t>
      </w:r>
      <w:r>
        <w:rPr>
          <w:rFonts w:hint="eastAsia" w:eastAsia="方正仿宋_GBK"/>
          <w:sz w:val="32"/>
          <w:szCs w:val="32"/>
        </w:rPr>
        <w:t>1家</w:t>
      </w:r>
      <w:r>
        <w:rPr>
          <w:rFonts w:eastAsia="方正仿宋_GBK"/>
          <w:sz w:val="32"/>
          <w:szCs w:val="32"/>
        </w:rPr>
        <w:t>、歌舞厅</w:t>
      </w:r>
      <w:r>
        <w:rPr>
          <w:rFonts w:hint="eastAsia" w:eastAsia="方正仿宋_GBK"/>
          <w:sz w:val="32"/>
          <w:szCs w:val="32"/>
        </w:rPr>
        <w:t>1家，</w:t>
      </w:r>
      <w:r>
        <w:rPr>
          <w:rFonts w:eastAsia="方正仿宋_GBK"/>
          <w:sz w:val="32"/>
          <w:szCs w:val="32"/>
        </w:rPr>
        <w:t>检查内容见附表1。</w:t>
      </w:r>
    </w:p>
    <w:p>
      <w:pPr>
        <w:spacing w:line="570" w:lineRule="exact"/>
        <w:ind w:firstLine="640" w:firstLineChars="200"/>
        <w:rPr>
          <w:rFonts w:eastAsia="方正黑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（二）“回头看”监督检查。</w:t>
      </w:r>
      <w:r>
        <w:rPr>
          <w:rFonts w:eastAsia="方正仿宋_GBK"/>
          <w:sz w:val="32"/>
          <w:szCs w:val="32"/>
        </w:rPr>
        <w:t>对2021年公共场所卫生随机监督抽查受到行政处罚的</w:t>
      </w:r>
      <w:r>
        <w:rPr>
          <w:rFonts w:hint="eastAsia" w:eastAsia="方正仿宋_GBK"/>
          <w:sz w:val="32"/>
          <w:szCs w:val="32"/>
        </w:rPr>
        <w:t>7家</w:t>
      </w:r>
      <w:r>
        <w:rPr>
          <w:rFonts w:eastAsia="方正仿宋_GBK"/>
          <w:sz w:val="32"/>
          <w:szCs w:val="32"/>
        </w:rPr>
        <w:t>单位，开展“回头看”监督检查，重点查看其整改落实情况。</w:t>
      </w:r>
    </w:p>
    <w:p>
      <w:pPr>
        <w:spacing w:line="570" w:lineRule="exact"/>
        <w:ind w:firstLine="320" w:firstLineChars="100"/>
        <w:rPr>
          <w:rFonts w:eastAsia="方正黑体_GBK"/>
          <w:bCs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二、</w:t>
      </w:r>
      <w:r>
        <w:rPr>
          <w:rFonts w:eastAsia="方正黑体_GBK"/>
          <w:bCs/>
          <w:sz w:val="32"/>
          <w:szCs w:val="32"/>
        </w:rPr>
        <w:t>工作要求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区卫生健康执法支队</w:t>
      </w:r>
      <w:r>
        <w:rPr>
          <w:rFonts w:eastAsia="方正仿宋_GBK"/>
          <w:sz w:val="32"/>
          <w:szCs w:val="18"/>
        </w:rPr>
        <w:t>于</w:t>
      </w:r>
      <w:r>
        <w:rPr>
          <w:rFonts w:hint="eastAsia" w:eastAsia="方正仿宋_GBK"/>
          <w:sz w:val="32"/>
          <w:szCs w:val="18"/>
        </w:rPr>
        <w:t>2022年</w:t>
      </w:r>
      <w:r>
        <w:rPr>
          <w:rFonts w:eastAsia="方正仿宋_GBK"/>
          <w:sz w:val="32"/>
          <w:szCs w:val="18"/>
        </w:rPr>
        <w:t>1</w:t>
      </w:r>
      <w:r>
        <w:rPr>
          <w:rFonts w:hint="eastAsia" w:eastAsia="方正仿宋_GBK"/>
          <w:sz w:val="32"/>
          <w:szCs w:val="18"/>
        </w:rPr>
        <w:t>0</w:t>
      </w:r>
      <w:r>
        <w:rPr>
          <w:rFonts w:eastAsia="方正仿宋_GBK"/>
          <w:sz w:val="32"/>
          <w:szCs w:val="18"/>
        </w:rPr>
        <w:t>月</w:t>
      </w:r>
      <w:r>
        <w:rPr>
          <w:rFonts w:hint="eastAsia" w:eastAsia="方正仿宋_GBK"/>
          <w:sz w:val="32"/>
          <w:szCs w:val="18"/>
        </w:rPr>
        <w:t>28</w:t>
      </w:r>
      <w:r>
        <w:rPr>
          <w:rFonts w:eastAsia="方正仿宋_GBK"/>
          <w:sz w:val="32"/>
          <w:szCs w:val="18"/>
        </w:rPr>
        <w:t>日前填报“回头看”监督检查情况汇总表（附表2），并将公共场所卫生监督抽查工作总结以纸质件和电子版形式</w:t>
      </w:r>
      <w:r>
        <w:rPr>
          <w:rFonts w:eastAsia="方正仿宋_GBK"/>
          <w:sz w:val="32"/>
          <w:szCs w:val="32"/>
        </w:rPr>
        <w:t>报送至市卫生健康执法总队。</w:t>
      </w:r>
    </w:p>
    <w:p>
      <w:pPr>
        <w:spacing w:line="570" w:lineRule="exact"/>
        <w:ind w:firstLine="640"/>
        <w:rPr>
          <w:rFonts w:eastAsia="方正仿宋_GBK"/>
          <w:sz w:val="32"/>
          <w:szCs w:val="18"/>
        </w:rPr>
      </w:pPr>
    </w:p>
    <w:p>
      <w:pPr>
        <w:pStyle w:val="2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 xml:space="preserve">     </w:t>
      </w:r>
    </w:p>
    <w:p>
      <w:pPr>
        <w:pStyle w:val="3"/>
        <w:ind w:left="0" w:firstLine="640"/>
        <w:rPr>
          <w:rFonts w:hint="eastAsia" w:eastAsia="方正仿宋_GBK"/>
          <w:sz w:val="32"/>
          <w:szCs w:val="18"/>
        </w:rPr>
      </w:pPr>
      <w:r>
        <w:rPr>
          <w:rFonts w:hint="eastAsia" w:eastAsia="方正仿宋_GBK"/>
          <w:sz w:val="32"/>
          <w:szCs w:val="18"/>
        </w:rPr>
        <w:t>附表：1.2022年公共场所卫生国家随机监督抽查工作计划表</w:t>
      </w:r>
    </w:p>
    <w:p>
      <w:pPr>
        <w:ind w:left="1758" w:leftChars="685" w:hanging="320" w:hangingChars="100"/>
      </w:pPr>
      <w:r>
        <w:rPr>
          <w:rFonts w:hint="eastAsia" w:eastAsia="方正仿宋_GBK"/>
          <w:sz w:val="32"/>
          <w:szCs w:val="18"/>
        </w:rPr>
        <w:t>2.公共场所卫生随机监督抽查“回头看”检查情况汇总表</w:t>
      </w:r>
    </w:p>
    <w:p>
      <w:pPr>
        <w:ind w:firstLine="640"/>
      </w:pPr>
    </w:p>
    <w:p>
      <w:pPr>
        <w:pStyle w:val="2"/>
      </w:pPr>
    </w:p>
    <w:p>
      <w:pPr>
        <w:pStyle w:val="3"/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312" w:charSpace="0"/>
        </w:sectPr>
      </w:pPr>
    </w:p>
    <w:p>
      <w:pPr>
        <w:snapToGrid w:val="0"/>
        <w:spacing w:line="600" w:lineRule="exact"/>
        <w:jc w:val="left"/>
        <w:rPr>
          <w:rFonts w:hint="eastAsia" w:eastAsia="黑体"/>
          <w:sz w:val="30"/>
        </w:rPr>
      </w:pPr>
      <w:r>
        <w:rPr>
          <w:rFonts w:eastAsia="黑体"/>
          <w:sz w:val="30"/>
        </w:rPr>
        <w:t>附表</w:t>
      </w:r>
      <w:r>
        <w:rPr>
          <w:rFonts w:hint="eastAsia" w:eastAsia="黑体"/>
          <w:sz w:val="30"/>
        </w:rPr>
        <w:t>1</w:t>
      </w:r>
    </w:p>
    <w:p>
      <w:pPr>
        <w:pStyle w:val="3"/>
      </w:pPr>
    </w:p>
    <w:p>
      <w:pPr>
        <w:widowControl/>
        <w:spacing w:before="156" w:beforeLines="50" w:line="560" w:lineRule="exact"/>
        <w:jc w:val="center"/>
        <w:rPr>
          <w:b/>
          <w:sz w:val="44"/>
        </w:rPr>
      </w:pPr>
      <w:r>
        <w:rPr>
          <w:b/>
          <w:sz w:val="44"/>
        </w:rPr>
        <w:t>2022年公共场所卫生国家随机监督抽查工作计划表</w:t>
      </w:r>
    </w:p>
    <w:tbl>
      <w:tblPr>
        <w:tblStyle w:val="5"/>
        <w:tblW w:w="12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525"/>
        <w:gridCol w:w="5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监督检查对象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检查内容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游泳场所</w:t>
            </w:r>
            <w:r>
              <w:rPr>
                <w:rFonts w:hint="eastAsia" w:eastAsia="方正仿宋_GBK"/>
              </w:rPr>
              <w:t>10家</w:t>
            </w:r>
          </w:p>
        </w:tc>
        <w:tc>
          <w:tcPr>
            <w:tcW w:w="5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1.设置卫生管理部门或人员情况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2.建立卫生管理档案情况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3.从业人员健康体检情况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4.设置禁止吸烟警语标志情况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5.对空气、水质、顾客用品用具等进行卫生检测情况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6.公示卫生许可证、卫生信誉度等级和卫生检测信息情况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7.对顾客用品用具进行清洗、消毒、保洁情况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8.实施卫生监督量化分级管理情况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9.住宿场所按照《艾滋病防治条例》放置安全套或者设置安全套发售设施情况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10.生活美容场所违法开展医疗美容情况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11.公共场所新冠疫情常态化防控措施落实情况。</w:t>
            </w:r>
            <w:r>
              <w:rPr>
                <w:rFonts w:eastAsia="方正仿宋_GBK"/>
                <w:vertAlign w:val="superscript"/>
              </w:rPr>
              <w:t>(b)</w:t>
            </w: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1.泳池水浑浊度、pH、游离性余氯、尿素、菌落总数、大肠菌群；2.浸脚池水游离性余氯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住宿场所</w:t>
            </w:r>
            <w:r>
              <w:rPr>
                <w:rFonts w:hint="eastAsia" w:eastAsia="方正仿宋_GBK"/>
              </w:rPr>
              <w:t>14家</w:t>
            </w:r>
          </w:p>
        </w:tc>
        <w:tc>
          <w:tcPr>
            <w:tcW w:w="5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1.棉织品外观、细菌总数、大肠菌群、金黄色葡萄球菌、pH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2.杯具外观、细菌总数、大肠菌群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方正仿宋_GBK"/>
              </w:rPr>
            </w:pPr>
            <w:r>
              <w:rPr>
                <w:rFonts w:eastAsia="方正仿宋_GBK"/>
              </w:rPr>
              <w:t>沐浴场所</w:t>
            </w:r>
            <w:r>
              <w:rPr>
                <w:rFonts w:hint="eastAsia" w:eastAsia="方正仿宋_GBK"/>
              </w:rPr>
              <w:t>2家</w:t>
            </w:r>
          </w:p>
        </w:tc>
        <w:tc>
          <w:tcPr>
            <w:tcW w:w="5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1.棉织品外观、细菌总数、大肠菌群、金黄色葡萄球菌、pH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2.沐浴用水嗜肺军团菌、池水浊度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美容美发场所</w:t>
            </w:r>
            <w:r>
              <w:rPr>
                <w:rFonts w:hint="eastAsia" w:eastAsia="方正仿宋_GBK"/>
              </w:rPr>
              <w:t>20家</w:t>
            </w:r>
          </w:p>
        </w:tc>
        <w:tc>
          <w:tcPr>
            <w:tcW w:w="5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1.美容美发工具细菌总数、大肠菌群、金黄色葡萄球菌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2.棉织品外观、细菌总数、大肠菌群、金黄色葡萄球菌、pH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eastAsia="方正仿宋_GBK"/>
              </w:rPr>
            </w:pPr>
            <w:r>
              <w:rPr>
                <w:rFonts w:eastAsia="方正仿宋_GBK"/>
              </w:rPr>
              <w:t>其他公共场所</w:t>
            </w:r>
            <w:r>
              <w:rPr>
                <w:rFonts w:hint="eastAsia" w:eastAsia="方正仿宋_GBK"/>
              </w:rPr>
              <w:t>4家</w:t>
            </w:r>
          </w:p>
        </w:tc>
        <w:tc>
          <w:tcPr>
            <w:tcW w:w="5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</w:tc>
        <w:tc>
          <w:tcPr>
            <w:tcW w:w="5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室内空气中CO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、甲醛、苯、甲苯、二甲苯</w:t>
            </w:r>
            <w:r>
              <w:rPr>
                <w:rFonts w:eastAsia="方正仿宋_GBK"/>
                <w:vertAlign w:val="superscript"/>
              </w:rPr>
              <w:t>(e)</w:t>
            </w:r>
          </w:p>
          <w:p>
            <w:pPr>
              <w:widowControl/>
              <w:spacing w:line="220" w:lineRule="exact"/>
              <w:jc w:val="center"/>
              <w:rPr>
                <w:rFonts w:eastAsia="方正仿宋_GBK"/>
              </w:rPr>
            </w:pPr>
          </w:p>
        </w:tc>
      </w:tr>
    </w:tbl>
    <w:p>
      <w:pPr>
        <w:snapToGrid w:val="0"/>
        <w:spacing w:line="600" w:lineRule="exact"/>
        <w:jc w:val="left"/>
        <w:rPr>
          <w:rFonts w:eastAsia="黑体"/>
          <w:sz w:val="30"/>
        </w:rPr>
      </w:pPr>
    </w:p>
    <w:p>
      <w:pPr>
        <w:snapToGrid w:val="0"/>
        <w:spacing w:line="600" w:lineRule="exact"/>
        <w:jc w:val="left"/>
        <w:rPr>
          <w:rFonts w:eastAsia="黑体"/>
          <w:sz w:val="30"/>
        </w:rPr>
      </w:pPr>
    </w:p>
    <w:p>
      <w:pPr>
        <w:snapToGrid w:val="0"/>
        <w:spacing w:line="600" w:lineRule="exact"/>
        <w:jc w:val="left"/>
        <w:rPr>
          <w:rFonts w:eastAsia="黑体"/>
          <w:sz w:val="30"/>
        </w:rPr>
      </w:pPr>
    </w:p>
    <w:p>
      <w:pPr>
        <w:snapToGrid w:val="0"/>
        <w:spacing w:line="600" w:lineRule="exact"/>
        <w:jc w:val="left"/>
        <w:rPr>
          <w:rFonts w:eastAsia="黑体"/>
          <w:sz w:val="30"/>
        </w:rPr>
      </w:pPr>
    </w:p>
    <w:p>
      <w:pPr>
        <w:snapToGrid w:val="0"/>
        <w:spacing w:line="600" w:lineRule="exact"/>
        <w:jc w:val="left"/>
        <w:rPr>
          <w:rFonts w:eastAsia="黑体"/>
          <w:sz w:val="30"/>
        </w:rPr>
      </w:pPr>
    </w:p>
    <w:p>
      <w:pPr>
        <w:snapToGrid w:val="0"/>
        <w:spacing w:line="600" w:lineRule="exact"/>
        <w:jc w:val="left"/>
        <w:rPr>
          <w:rFonts w:eastAsia="黑体"/>
          <w:sz w:val="30"/>
        </w:rPr>
      </w:pPr>
      <w:r>
        <w:rPr>
          <w:rFonts w:eastAsia="黑体"/>
          <w:sz w:val="30"/>
        </w:rPr>
        <w:t>附表2</w:t>
      </w:r>
    </w:p>
    <w:p>
      <w:pPr>
        <w:snapToGrid w:val="0"/>
        <w:spacing w:before="156" w:beforeLines="5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公共场所卫生随机监督抽查“回头看”检查情况汇总表</w:t>
      </w:r>
    </w:p>
    <w:p>
      <w:pPr>
        <w:spacing w:before="156" w:beforeLines="50" w:line="560" w:lineRule="exact"/>
        <w:ind w:firstLine="480" w:firstLineChars="200"/>
        <w:rPr>
          <w:rFonts w:eastAsia="方正黑体_GBK"/>
          <w:sz w:val="40"/>
          <w:szCs w:val="40"/>
        </w:rPr>
      </w:pP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区</w:t>
      </w:r>
    </w:p>
    <w:tbl>
      <w:tblPr>
        <w:tblStyle w:val="5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43"/>
        <w:gridCol w:w="1463"/>
        <w:gridCol w:w="1664"/>
        <w:gridCol w:w="300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3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监督检查对象</w:t>
            </w:r>
          </w:p>
        </w:tc>
        <w:tc>
          <w:tcPr>
            <w:tcW w:w="224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2021年重庆市随机监督抽查处罚单位数</w:t>
            </w:r>
          </w:p>
        </w:tc>
        <w:tc>
          <w:tcPr>
            <w:tcW w:w="146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未完成整改单位数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出现新的违法行为单位数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6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“完成整改单位数随机监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3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24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行政处罚案件数（件）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罚没款（万元）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3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游泳场所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3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住宿场所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3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沐浴场所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3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美容美发场所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3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其他公共场所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3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</w:rPr>
              <w:t>集中空调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sz w:val="24"/>
              </w:rPr>
            </w:pPr>
          </w:p>
        </w:tc>
      </w:tr>
    </w:tbl>
    <w:p>
      <w:pPr>
        <w:snapToGrid w:val="0"/>
        <w:spacing w:line="240" w:lineRule="exact"/>
        <w:ind w:firstLine="210" w:firstLineChars="100"/>
        <w:jc w:val="left"/>
        <w:rPr>
          <w:rFonts w:eastAsia="方正仿宋_GBK"/>
          <w:szCs w:val="21"/>
        </w:rPr>
      </w:pPr>
    </w:p>
    <w:p>
      <w:pPr>
        <w:snapToGrid w:val="0"/>
        <w:spacing w:line="360" w:lineRule="exact"/>
        <w:ind w:firstLine="240" w:firstLineChars="100"/>
        <w:rPr>
          <w:rFonts w:hint="eastAsia" w:eastAsia="方正仿宋_GBK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方正仿宋_GBK"/>
          <w:sz w:val="24"/>
        </w:rPr>
        <w:t>填表人：                   填表时间：                  联系电话：                  审核人</w:t>
      </w:r>
      <w:r>
        <w:rPr>
          <w:rFonts w:hint="eastAsia" w:eastAsia="方正仿宋_GBK"/>
          <w:sz w:val="24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MRqT0naAQAAugMAAA4AAAAAAAAAAQAg&#10;AAAAHgEAAGRycy9lMm9Eb2MueG1sUEsFBgAAAAAGAAYAWQEAAGo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3B1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2022-08-12T01:45:06Z</dcterms:created>
  <dc:creator>vivoBook 15</dc:creator>
  <cp:lastModifiedBy>壳儿</cp:lastModifiedBy>
  <dcterms:modified xsi:type="dcterms:W3CDTF">2022-08-12T01:45:34Z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CD1D87485E1745D8BDE948AA45041A53</vt:lpwstr>
  </property>
</Properties>
</file>