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pStyle w:val="3"/>
        <w:ind w:left="0"/>
        <w:rPr>
          <w:rFonts w:hint="eastAsia" w:eastAsia="方正黑体_GBK"/>
          <w:sz w:val="32"/>
          <w:szCs w:val="32"/>
        </w:rPr>
      </w:pPr>
      <w:r>
        <w:rPr>
          <w:rFonts w:hint="eastAsia"/>
          <w:lang w:val="en-US" w:eastAsia="zh-CN"/>
        </w:rPr>
        <w:tab/>
      </w:r>
      <w:r>
        <w:rPr>
          <w:rFonts w:eastAsia="方正黑体_GBK"/>
          <w:sz w:val="32"/>
          <w:szCs w:val="32"/>
        </w:rPr>
        <w:t>附件</w:t>
      </w:r>
      <w:r>
        <w:rPr>
          <w:rFonts w:hint="eastAsia" w:eastAsia="方正黑体_GBK"/>
          <w:sz w:val="32"/>
          <w:szCs w:val="32"/>
        </w:rPr>
        <w:t>7</w:t>
      </w:r>
    </w:p>
    <w:p/>
    <w:p>
      <w:pPr>
        <w:spacing w:line="560" w:lineRule="exact"/>
        <w:jc w:val="center"/>
        <w:rPr>
          <w:rFonts w:eastAsia="方正小标宋_GBK"/>
          <w:bCs/>
          <w:sz w:val="44"/>
          <w:szCs w:val="44"/>
        </w:rPr>
      </w:pPr>
      <w:bookmarkStart w:id="0" w:name="_GoBack"/>
      <w:r>
        <w:rPr>
          <w:rFonts w:eastAsia="方正小标宋_GBK"/>
          <w:bCs/>
          <w:sz w:val="44"/>
          <w:szCs w:val="44"/>
        </w:rPr>
        <w:t>2022年</w:t>
      </w:r>
      <w:r>
        <w:rPr>
          <w:rFonts w:hint="eastAsia" w:eastAsia="方正小标宋_GBK"/>
          <w:bCs/>
          <w:sz w:val="44"/>
          <w:szCs w:val="44"/>
        </w:rPr>
        <w:t>南川区</w:t>
      </w:r>
      <w:r>
        <w:rPr>
          <w:rFonts w:eastAsia="方正小标宋_GBK"/>
          <w:bCs/>
          <w:sz w:val="44"/>
          <w:szCs w:val="44"/>
        </w:rPr>
        <w:t>传染病防治国家随机监督</w:t>
      </w:r>
    </w:p>
    <w:p>
      <w:pPr>
        <w:spacing w:line="560" w:lineRule="exact"/>
        <w:jc w:val="center"/>
        <w:rPr>
          <w:rFonts w:eastAsia="方正小标宋_GBK"/>
          <w:bCs/>
          <w:sz w:val="44"/>
          <w:szCs w:val="44"/>
        </w:rPr>
      </w:pPr>
      <w:r>
        <w:rPr>
          <w:rFonts w:eastAsia="方正小标宋_GBK"/>
          <w:bCs/>
          <w:sz w:val="44"/>
          <w:szCs w:val="44"/>
        </w:rPr>
        <w:t>抽查计划</w:t>
      </w:r>
    </w:p>
    <w:bookmarkEnd w:id="0"/>
    <w:p>
      <w:pPr>
        <w:ind w:firstLine="420" w:firstLineChars="200"/>
        <w:jc w:val="left"/>
      </w:pPr>
    </w:p>
    <w:p>
      <w:pPr>
        <w:spacing w:line="560" w:lineRule="exact"/>
        <w:ind w:firstLine="640" w:firstLineChars="200"/>
        <w:rPr>
          <w:rFonts w:eastAsia="黑体"/>
          <w:sz w:val="32"/>
          <w:szCs w:val="32"/>
        </w:rPr>
      </w:pPr>
      <w:r>
        <w:rPr>
          <w:rFonts w:eastAsia="黑体"/>
          <w:sz w:val="32"/>
          <w:szCs w:val="32"/>
        </w:rPr>
        <w:t>一、</w:t>
      </w:r>
      <w:r>
        <w:rPr>
          <w:rFonts w:eastAsia="方正黑体_GBK"/>
          <w:sz w:val="32"/>
          <w:szCs w:val="32"/>
        </w:rPr>
        <w:t>工作任务</w:t>
      </w:r>
    </w:p>
    <w:p>
      <w:pPr>
        <w:spacing w:line="574" w:lineRule="exact"/>
        <w:ind w:firstLine="640" w:firstLineChars="200"/>
        <w:rPr>
          <w:rFonts w:eastAsia="方正仿宋_GBK"/>
          <w:sz w:val="32"/>
          <w:szCs w:val="32"/>
        </w:rPr>
      </w:pPr>
      <w:r>
        <w:rPr>
          <w:rFonts w:eastAsia="方正楷体_GBK"/>
          <w:kern w:val="0"/>
          <w:sz w:val="32"/>
          <w:szCs w:val="32"/>
        </w:rPr>
        <w:t>（一）传染病防治监督抽查。</w:t>
      </w:r>
      <w:r>
        <w:rPr>
          <w:rFonts w:eastAsia="方正仿宋_GBK"/>
          <w:sz w:val="32"/>
          <w:szCs w:val="32"/>
        </w:rPr>
        <w:t>抽查全</w:t>
      </w:r>
      <w:r>
        <w:rPr>
          <w:rFonts w:hint="eastAsia" w:eastAsia="方正仿宋_GBK"/>
          <w:sz w:val="32"/>
          <w:szCs w:val="32"/>
        </w:rPr>
        <w:t>区</w:t>
      </w:r>
      <w:r>
        <w:rPr>
          <w:rFonts w:eastAsia="方正仿宋_GBK"/>
          <w:sz w:val="32"/>
          <w:szCs w:val="32"/>
        </w:rPr>
        <w:t>一级医院</w:t>
      </w:r>
      <w:r>
        <w:rPr>
          <w:rFonts w:hint="eastAsia" w:eastAsia="方正仿宋_GBK"/>
          <w:sz w:val="32"/>
          <w:szCs w:val="32"/>
        </w:rPr>
        <w:t>1家，</w:t>
      </w:r>
      <w:r>
        <w:rPr>
          <w:rFonts w:eastAsia="方正仿宋_GBK"/>
          <w:sz w:val="32"/>
          <w:szCs w:val="32"/>
        </w:rPr>
        <w:t>基层医疗机构（社区卫生服务中心、诊所、乡镇卫生院、村卫生室等）</w:t>
      </w:r>
      <w:r>
        <w:rPr>
          <w:rFonts w:hint="eastAsia" w:eastAsia="方正仿宋_GBK"/>
          <w:sz w:val="32"/>
          <w:szCs w:val="32"/>
        </w:rPr>
        <w:t>14家。</w:t>
      </w:r>
      <w:r>
        <w:rPr>
          <w:rFonts w:eastAsia="方正仿宋_GBK"/>
          <w:sz w:val="32"/>
          <w:szCs w:val="32"/>
        </w:rPr>
        <w:t>具体抽查单位见市执法平台双随机名单，检查内容见附表1。</w:t>
      </w:r>
    </w:p>
    <w:p>
      <w:pPr>
        <w:spacing w:line="574" w:lineRule="exact"/>
        <w:ind w:firstLine="640" w:firstLineChars="200"/>
        <w:rPr>
          <w:rFonts w:eastAsia="方正仿宋_GBK"/>
          <w:sz w:val="32"/>
          <w:szCs w:val="32"/>
        </w:rPr>
      </w:pPr>
      <w:r>
        <w:rPr>
          <w:rFonts w:eastAsia="方正楷体_GBK"/>
          <w:kern w:val="0"/>
          <w:sz w:val="32"/>
          <w:szCs w:val="32"/>
        </w:rPr>
        <w:t>（二）“回头看”监督检查。</w:t>
      </w:r>
      <w:r>
        <w:rPr>
          <w:rFonts w:eastAsia="方正仿宋_GBK"/>
          <w:sz w:val="32"/>
          <w:szCs w:val="32"/>
        </w:rPr>
        <w:t>对2021年传染病防治随机监督抽查受到行政处罚的单位</w:t>
      </w:r>
      <w:r>
        <w:rPr>
          <w:rFonts w:hint="eastAsia" w:eastAsia="方正仿宋_GBK"/>
          <w:sz w:val="32"/>
          <w:szCs w:val="32"/>
        </w:rPr>
        <w:t>4家</w:t>
      </w:r>
      <w:r>
        <w:rPr>
          <w:rFonts w:eastAsia="方正仿宋_GBK"/>
          <w:sz w:val="32"/>
          <w:szCs w:val="32"/>
        </w:rPr>
        <w:t>，开展“回头看”监督检查，重点查看其整改落实情况。</w:t>
      </w:r>
    </w:p>
    <w:p>
      <w:pPr>
        <w:snapToGrid w:val="0"/>
        <w:spacing w:line="570" w:lineRule="exact"/>
        <w:ind w:firstLine="640" w:firstLineChars="200"/>
        <w:rPr>
          <w:rFonts w:eastAsia="方正黑体_GBK"/>
          <w:sz w:val="32"/>
          <w:szCs w:val="32"/>
        </w:rPr>
      </w:pPr>
      <w:r>
        <w:rPr>
          <w:rFonts w:eastAsia="方正黑体_GBK"/>
          <w:sz w:val="32"/>
          <w:szCs w:val="32"/>
        </w:rPr>
        <w:t>二、工作要求</w:t>
      </w:r>
    </w:p>
    <w:p>
      <w:pPr>
        <w:snapToGrid w:val="0"/>
        <w:spacing w:line="570" w:lineRule="exact"/>
        <w:ind w:firstLine="640" w:firstLineChars="200"/>
        <w:rPr>
          <w:rFonts w:eastAsia="方正仿宋_GBK"/>
          <w:sz w:val="32"/>
          <w:szCs w:val="32"/>
        </w:rPr>
      </w:pPr>
      <w:r>
        <w:rPr>
          <w:rFonts w:eastAsia="方正仿宋_GBK"/>
          <w:sz w:val="32"/>
          <w:szCs w:val="32"/>
        </w:rPr>
        <w:t>（一）要将传染病防治监督抽查工作与医疗卫生机构传染病防治分类监督综合评价工作相结合，对抽取的单位均采取分类监督综合评价方式进行检查。同时，重点加强从事核酸检测的医学实验室的监督检查，发现违法违规行为，依法严肃查处。</w:t>
      </w:r>
    </w:p>
    <w:p>
      <w:pPr>
        <w:spacing w:line="560" w:lineRule="exact"/>
        <w:ind w:firstLine="640"/>
        <w:rPr>
          <w:rFonts w:eastAsia="仿宋"/>
          <w:sz w:val="32"/>
          <w:szCs w:val="32"/>
        </w:rPr>
      </w:pPr>
      <w:r>
        <w:rPr>
          <w:rFonts w:eastAsia="方正仿宋_GBK"/>
          <w:sz w:val="32"/>
          <w:szCs w:val="32"/>
        </w:rPr>
        <w:t>（二）</w:t>
      </w:r>
      <w:r>
        <w:rPr>
          <w:rFonts w:hint="eastAsia" w:eastAsia="方正仿宋_GBK"/>
          <w:kern w:val="0"/>
          <w:sz w:val="32"/>
          <w:szCs w:val="32"/>
        </w:rPr>
        <w:t>区卫生健康综合行政执法支队</w:t>
      </w:r>
      <w:r>
        <w:rPr>
          <w:rFonts w:eastAsia="方正仿宋_GBK"/>
          <w:sz w:val="32"/>
          <w:szCs w:val="32"/>
        </w:rPr>
        <w:t>于10月25日前</w:t>
      </w:r>
      <w:r>
        <w:rPr>
          <w:rFonts w:eastAsia="方正仿宋_GBK"/>
          <w:sz w:val="32"/>
          <w:szCs w:val="18"/>
        </w:rPr>
        <w:t>通过市执法平台在线填报模块填报</w:t>
      </w:r>
      <w:r>
        <w:rPr>
          <w:rFonts w:eastAsia="方正仿宋_GBK"/>
          <w:kern w:val="0"/>
          <w:sz w:val="32"/>
          <w:szCs w:val="32"/>
        </w:rPr>
        <w:t>“回头看”监督检查情况汇总表（附表2）,</w:t>
      </w:r>
      <w:r>
        <w:rPr>
          <w:rFonts w:eastAsia="方正仿宋_GBK"/>
          <w:sz w:val="32"/>
          <w:szCs w:val="18"/>
        </w:rPr>
        <w:t>并将</w:t>
      </w:r>
      <w:r>
        <w:rPr>
          <w:rFonts w:eastAsia="方正仿宋_GBK"/>
          <w:sz w:val="32"/>
          <w:szCs w:val="32"/>
        </w:rPr>
        <w:t>传染病防治</w:t>
      </w:r>
      <w:r>
        <w:rPr>
          <w:rFonts w:eastAsia="方正仿宋_GBK"/>
          <w:sz w:val="32"/>
          <w:szCs w:val="18"/>
        </w:rPr>
        <w:t>监督抽查工作总结以纸质件和电子版形式报送至市卫生健康执法总队。</w:t>
      </w:r>
      <w:r>
        <w:rPr>
          <w:rFonts w:eastAsia="仿宋"/>
          <w:sz w:val="32"/>
          <w:szCs w:val="32"/>
        </w:rPr>
        <w:t xml:space="preserve"> </w:t>
      </w:r>
    </w:p>
    <w:p>
      <w:pPr>
        <w:pStyle w:val="2"/>
      </w:pPr>
    </w:p>
    <w:p>
      <w:pPr>
        <w:spacing w:line="560" w:lineRule="exact"/>
        <w:ind w:firstLine="640" w:firstLineChars="200"/>
        <w:rPr>
          <w:rFonts w:eastAsia="仿宋"/>
          <w:sz w:val="32"/>
          <w:szCs w:val="32"/>
        </w:rPr>
      </w:pPr>
      <w:r>
        <w:rPr>
          <w:rFonts w:eastAsia="方正仿宋_GBK"/>
          <w:sz w:val="32"/>
          <w:szCs w:val="32"/>
        </w:rPr>
        <w:t>附表：1.2022年传染病防治国家随机监督抽查计划表</w:t>
      </w:r>
    </w:p>
    <w:p>
      <w:pPr>
        <w:spacing w:line="560" w:lineRule="exact"/>
        <w:ind w:firstLine="1600" w:firstLineChars="500"/>
        <w:rPr>
          <w:rFonts w:eastAsia="方正仿宋_GBK"/>
          <w:sz w:val="32"/>
          <w:szCs w:val="32"/>
        </w:rPr>
      </w:pPr>
      <w:r>
        <w:rPr>
          <w:rFonts w:eastAsia="方正仿宋_GBK"/>
          <w:sz w:val="32"/>
          <w:szCs w:val="32"/>
        </w:rPr>
        <w:t xml:space="preserve">2.传染病防治随机监督抽查“回头看”检查情况  </w:t>
      </w:r>
    </w:p>
    <w:p>
      <w:pPr>
        <w:spacing w:line="560" w:lineRule="exact"/>
        <w:ind w:firstLine="1920" w:firstLineChars="600"/>
        <w:rPr>
          <w:rFonts w:eastAsia="仿宋"/>
          <w:sz w:val="32"/>
          <w:szCs w:val="32"/>
        </w:rPr>
      </w:pPr>
      <w:r>
        <w:rPr>
          <w:rFonts w:eastAsia="方正仿宋_GBK"/>
          <w:sz w:val="32"/>
          <w:szCs w:val="32"/>
        </w:rPr>
        <w:t>汇总表</w:t>
      </w:r>
    </w:p>
    <w:p>
      <w:pPr>
        <w:spacing w:line="560" w:lineRule="exact"/>
        <w:rPr>
          <w:rFonts w:eastAsia="仿宋"/>
          <w:sz w:val="32"/>
          <w:szCs w:val="32"/>
        </w:rPr>
        <w:sectPr>
          <w:pgSz w:w="11906" w:h="16838"/>
          <w:pgMar w:top="2098" w:right="1474" w:bottom="1984" w:left="1587" w:header="851" w:footer="992" w:gutter="0"/>
          <w:pgNumType w:fmt="numberInDash"/>
          <w:cols w:space="720" w:num="1"/>
          <w:docGrid w:linePitch="312" w:charSpace="0"/>
        </w:sectPr>
      </w:pPr>
    </w:p>
    <w:p>
      <w:pPr>
        <w:rPr>
          <w:rFonts w:eastAsia="黑体"/>
          <w:sz w:val="32"/>
          <w:szCs w:val="32"/>
        </w:rPr>
      </w:pPr>
      <w:r>
        <w:rPr>
          <w:rFonts w:eastAsia="黑体"/>
          <w:sz w:val="32"/>
          <w:szCs w:val="32"/>
        </w:rPr>
        <w:t>附表1</w:t>
      </w:r>
    </w:p>
    <w:p>
      <w:pPr>
        <w:snapToGrid w:val="0"/>
        <w:spacing w:line="570" w:lineRule="exact"/>
        <w:jc w:val="center"/>
        <w:rPr>
          <w:rFonts w:eastAsia="方正小标宋_GBK"/>
          <w:sz w:val="44"/>
          <w:szCs w:val="44"/>
        </w:rPr>
      </w:pPr>
      <w:r>
        <w:rPr>
          <w:rFonts w:eastAsia="方正小标宋_GBK"/>
          <w:sz w:val="44"/>
          <w:szCs w:val="44"/>
        </w:rPr>
        <w:t>2022年传染病防治国家随机监督抽查计划表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75"/>
        <w:gridCol w:w="878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eastAsia="仿宋_GB2312"/>
                <w:b/>
                <w:sz w:val="24"/>
              </w:rPr>
            </w:pPr>
            <w:r>
              <w:rPr>
                <w:rFonts w:eastAsia="仿宋_GB2312"/>
                <w:b/>
                <w:sz w:val="24"/>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eastAsia="仿宋_GB2312"/>
                <w:b/>
                <w:sz w:val="24"/>
              </w:rPr>
            </w:pPr>
            <w:r>
              <w:rPr>
                <w:rFonts w:eastAsia="仿宋_GB2312"/>
                <w:b/>
                <w:sz w:val="24"/>
              </w:rPr>
              <w:t>监督检查对象</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eastAsia="仿宋_GB2312"/>
                <w:b/>
                <w:sz w:val="24"/>
              </w:rPr>
            </w:pPr>
            <w:r>
              <w:rPr>
                <w:rFonts w:eastAsia="仿宋_GB2312"/>
                <w:b/>
                <w:sz w:val="24"/>
              </w:rPr>
              <w:t>检查内容</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eastAsia="方正仿宋_GBK"/>
              </w:rPr>
            </w:pPr>
            <w:r>
              <w:rPr>
                <w:rFonts w:hint="eastAsia" w:eastAsia="方正仿宋_GBK"/>
              </w:rPr>
              <w:t>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20" w:firstLineChars="200"/>
              <w:jc w:val="center"/>
              <w:rPr>
                <w:rFonts w:hint="eastAsia" w:eastAsia="方正仿宋_GBK"/>
              </w:rPr>
            </w:pPr>
            <w:r>
              <w:rPr>
                <w:rFonts w:eastAsia="方正仿宋_GBK"/>
              </w:rPr>
              <w:t>一级医院</w:t>
            </w:r>
            <w:r>
              <w:rPr>
                <w:rFonts w:hint="eastAsia" w:eastAsia="方正仿宋_GBK"/>
              </w:rPr>
              <w:t>1家</w:t>
            </w:r>
          </w:p>
        </w:tc>
        <w:tc>
          <w:tcPr>
            <w:tcW w:w="8789" w:type="dxa"/>
            <w:vMerge w:val="restart"/>
            <w:tcBorders>
              <w:left w:val="single" w:color="auto" w:sz="4" w:space="0"/>
              <w:right w:val="single" w:color="auto" w:sz="4" w:space="0"/>
            </w:tcBorders>
            <w:noWrap w:val="0"/>
            <w:vAlign w:val="center"/>
          </w:tcPr>
          <w:p>
            <w:pPr>
              <w:adjustRightInd w:val="0"/>
              <w:snapToGrid w:val="0"/>
              <w:spacing w:line="400" w:lineRule="exact"/>
              <w:rPr>
                <w:rFonts w:eastAsia="方正仿宋_GBK"/>
              </w:rPr>
            </w:pPr>
            <w:r>
              <w:rPr>
                <w:rFonts w:eastAsia="方正仿宋_GBK"/>
              </w:rPr>
              <w:t>1.预防接种管理情况。接种单位资质情况；接种疫苗公示情况；接种前告知、询问受种者或监护人有关情况；执行“三查七对”和“一验证”情况；疫苗的接收、购进、储存、配送、供应、接种和处置记录情况。</w:t>
            </w:r>
          </w:p>
          <w:p>
            <w:pPr>
              <w:adjustRightInd w:val="0"/>
              <w:snapToGrid w:val="0"/>
              <w:spacing w:line="400" w:lineRule="exact"/>
              <w:rPr>
                <w:rFonts w:eastAsia="方正仿宋_GBK"/>
              </w:rPr>
            </w:pPr>
            <w:r>
              <w:rPr>
                <w:rFonts w:eastAsia="方正仿宋_GBK"/>
              </w:rPr>
              <w:t>2.传染病疫情报告情况。建立传染病疫情报告工作制度情况；开展疫情报告管理自查情况；传染病疫情登记、报告卡填写情况；是否存在瞒报、缓报、谎报传染病疫情情况。</w:t>
            </w:r>
          </w:p>
          <w:p>
            <w:pPr>
              <w:adjustRightInd w:val="0"/>
              <w:snapToGrid w:val="0"/>
              <w:spacing w:line="400" w:lineRule="exact"/>
              <w:rPr>
                <w:rFonts w:eastAsia="方正仿宋_GBK"/>
              </w:rPr>
            </w:pPr>
            <w:r>
              <w:rPr>
                <w:rFonts w:eastAsia="方正仿宋_GBK"/>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adjustRightInd w:val="0"/>
              <w:snapToGrid w:val="0"/>
              <w:spacing w:line="400" w:lineRule="exact"/>
              <w:rPr>
                <w:rFonts w:eastAsia="方正仿宋_GBK"/>
              </w:rPr>
            </w:pPr>
            <w:r>
              <w:rPr>
                <w:rFonts w:eastAsia="方正仿宋_GBK"/>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adjustRightInd w:val="0"/>
              <w:snapToGrid w:val="0"/>
              <w:spacing w:line="400" w:lineRule="exact"/>
              <w:rPr>
                <w:rFonts w:eastAsia="方正仿宋_GBK"/>
              </w:rPr>
            </w:pPr>
            <w:r>
              <w:rPr>
                <w:rFonts w:eastAsia="方正仿宋_GBK"/>
              </w:rPr>
              <w:t>5.医疗废物管理。医疗废物实行分类收集情况；使用专用包装物及容器情况；医疗废物暂时贮存设施建立情况；医疗废物交接、运送、暂存及处置情况。</w:t>
            </w:r>
          </w:p>
          <w:p>
            <w:pPr>
              <w:adjustRightInd w:val="0"/>
              <w:snapToGrid w:val="0"/>
              <w:spacing w:line="320" w:lineRule="exact"/>
              <w:rPr>
                <w:rFonts w:eastAsia="方正仿宋_GBK"/>
              </w:rPr>
            </w:pPr>
            <w:r>
              <w:rPr>
                <w:rFonts w:eastAsia="方正仿宋_GBK"/>
              </w:rPr>
              <w:t>6.二级病原微生物实验室生物安全管理。二级实验室备案情况；从事实验活动的人员培训、考核情况；实验档案建立情况；实验结束将菌（毒）种或样本销毁或者送交保藏机构保藏情况。</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eastAsia="方正仿宋_GBK"/>
              </w:rPr>
            </w:pPr>
            <w:r>
              <w:rPr>
                <w:rFonts w:hint="eastAsia" w:eastAsia="方正仿宋_GBK"/>
              </w:rPr>
              <w:t>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20" w:firstLineChars="200"/>
              <w:jc w:val="center"/>
              <w:rPr>
                <w:rFonts w:eastAsia="方正仿宋_GBK"/>
              </w:rPr>
            </w:pPr>
            <w:r>
              <w:rPr>
                <w:rFonts w:eastAsia="方正仿宋_GBK"/>
              </w:rPr>
              <w:t>基层医疗机构（社区卫生服务中心、诊所、乡镇卫生院、村卫生室等）</w:t>
            </w:r>
            <w:r>
              <w:rPr>
                <w:rFonts w:hint="eastAsia" w:eastAsia="方正仿宋_GBK"/>
              </w:rPr>
              <w:t>14家</w:t>
            </w:r>
          </w:p>
        </w:tc>
        <w:tc>
          <w:tcPr>
            <w:tcW w:w="8789" w:type="dxa"/>
            <w:vMerge w:val="continue"/>
            <w:tcBorders>
              <w:left w:val="single" w:color="auto" w:sz="4" w:space="0"/>
              <w:right w:val="single" w:color="auto" w:sz="4" w:space="0"/>
            </w:tcBorders>
            <w:noWrap w:val="0"/>
            <w:vAlign w:val="center"/>
          </w:tcPr>
          <w:p>
            <w:pPr>
              <w:adjustRightInd w:val="0"/>
              <w:snapToGrid w:val="0"/>
              <w:spacing w:line="320" w:lineRule="exact"/>
              <w:rPr>
                <w:rFonts w:eastAsia="方正仿宋_GBK"/>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eastAsia="方正仿宋_GBK"/>
              </w:rPr>
            </w:pPr>
          </w:p>
        </w:tc>
      </w:tr>
    </w:tbl>
    <w:p>
      <w:pPr>
        <w:spacing w:after="240" w:afterLines="100"/>
        <w:jc w:val="left"/>
        <w:rPr>
          <w:rFonts w:eastAsia="黑体"/>
          <w:kern w:val="0"/>
          <w:sz w:val="32"/>
        </w:rPr>
      </w:pPr>
    </w:p>
    <w:p>
      <w:pPr>
        <w:spacing w:after="240" w:afterLines="100"/>
        <w:jc w:val="left"/>
        <w:rPr>
          <w:rFonts w:eastAsia="仿宋_GB2312"/>
          <w:b/>
          <w:kern w:val="0"/>
          <w:sz w:val="44"/>
        </w:rPr>
      </w:pPr>
      <w:r>
        <w:rPr>
          <w:rFonts w:eastAsia="黑体"/>
          <w:kern w:val="0"/>
          <w:sz w:val="32"/>
        </w:rPr>
        <w:t>附表2</w:t>
      </w:r>
      <w:r>
        <w:rPr>
          <w:rFonts w:eastAsia="黑体"/>
          <w:sz w:val="32"/>
          <w:szCs w:val="32"/>
        </w:rPr>
        <w:t xml:space="preserve">   </w:t>
      </w:r>
      <w:r>
        <w:rPr>
          <w:rFonts w:eastAsia="黑体"/>
          <w:kern w:val="0"/>
          <w:sz w:val="36"/>
        </w:rPr>
        <w:t xml:space="preserve">                    </w:t>
      </w:r>
    </w:p>
    <w:p>
      <w:pPr>
        <w:spacing w:line="560" w:lineRule="exact"/>
        <w:jc w:val="center"/>
        <w:rPr>
          <w:b/>
          <w:bCs/>
          <w:sz w:val="44"/>
          <w:szCs w:val="44"/>
        </w:rPr>
      </w:pPr>
      <w:r>
        <w:rPr>
          <w:rFonts w:eastAsia="仿宋"/>
        </w:rPr>
        <w:t xml:space="preserve"> </w:t>
      </w:r>
      <w:r>
        <w:rPr>
          <w:rFonts w:hint="eastAsia" w:ascii="方正小标宋_GBK" w:hAnsi="方正小标宋_GBK" w:eastAsia="方正小标宋_GBK" w:cs="方正小标宋_GBK"/>
          <w:sz w:val="44"/>
          <w:szCs w:val="44"/>
        </w:rPr>
        <w:t>传染病防治随机监督抽查“回头看”检查情况汇总表</w:t>
      </w:r>
    </w:p>
    <w:p>
      <w:pPr>
        <w:spacing w:line="56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417"/>
        <w:gridCol w:w="3255"/>
        <w:gridCol w:w="2557"/>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6" w:type="dxa"/>
            <w:vMerge w:val="restart"/>
            <w:noWrap w:val="0"/>
            <w:vAlign w:val="center"/>
          </w:tcPr>
          <w:p>
            <w:pPr>
              <w:jc w:val="center"/>
              <w:rPr>
                <w:szCs w:val="21"/>
              </w:rPr>
            </w:pPr>
            <w:r>
              <w:rPr>
                <w:szCs w:val="21"/>
              </w:rPr>
              <w:t>单位类别</w:t>
            </w:r>
          </w:p>
        </w:tc>
        <w:tc>
          <w:tcPr>
            <w:tcW w:w="1276" w:type="dxa"/>
            <w:vMerge w:val="restart"/>
            <w:noWrap w:val="0"/>
            <w:vAlign w:val="center"/>
          </w:tcPr>
          <w:p>
            <w:pPr>
              <w:jc w:val="center"/>
              <w:rPr>
                <w:szCs w:val="21"/>
              </w:rPr>
            </w:pPr>
            <w:r>
              <w:rPr>
                <w:szCs w:val="21"/>
              </w:rPr>
              <w:t>2021年重庆随机监督抽检处罚单位数</w:t>
            </w:r>
          </w:p>
        </w:tc>
        <w:tc>
          <w:tcPr>
            <w:tcW w:w="1417" w:type="dxa"/>
            <w:vMerge w:val="restart"/>
            <w:noWrap w:val="0"/>
            <w:vAlign w:val="center"/>
          </w:tcPr>
          <w:p>
            <w:pPr>
              <w:jc w:val="center"/>
              <w:rPr>
                <w:szCs w:val="21"/>
              </w:rPr>
            </w:pPr>
            <w:r>
              <w:rPr>
                <w:szCs w:val="21"/>
              </w:rPr>
              <w:t>未完成整改单位数</w:t>
            </w:r>
          </w:p>
        </w:tc>
        <w:tc>
          <w:tcPr>
            <w:tcW w:w="3255" w:type="dxa"/>
            <w:vMerge w:val="restart"/>
            <w:noWrap w:val="0"/>
            <w:vAlign w:val="center"/>
          </w:tcPr>
          <w:p>
            <w:pPr>
              <w:jc w:val="center"/>
              <w:rPr>
                <w:szCs w:val="21"/>
              </w:rPr>
            </w:pPr>
            <w:r>
              <w:rPr>
                <w:szCs w:val="21"/>
              </w:rPr>
              <w:t>未完成整改单位名称</w:t>
            </w:r>
          </w:p>
        </w:tc>
        <w:tc>
          <w:tcPr>
            <w:tcW w:w="2557" w:type="dxa"/>
            <w:vMerge w:val="restart"/>
            <w:noWrap w:val="0"/>
            <w:vAlign w:val="center"/>
          </w:tcPr>
          <w:p>
            <w:pPr>
              <w:jc w:val="center"/>
              <w:rPr>
                <w:szCs w:val="21"/>
              </w:rPr>
            </w:pPr>
            <w:r>
              <w:rPr>
                <w:szCs w:val="21"/>
              </w:rPr>
              <w:t>未完成整改的原因</w:t>
            </w:r>
          </w:p>
        </w:tc>
        <w:tc>
          <w:tcPr>
            <w:tcW w:w="4111" w:type="dxa"/>
            <w:gridSpan w:val="2"/>
            <w:noWrap w:val="0"/>
            <w:vAlign w:val="center"/>
          </w:tcPr>
          <w:p>
            <w:pPr>
              <w:jc w:val="center"/>
              <w:rPr>
                <w:szCs w:val="21"/>
              </w:rPr>
            </w:pPr>
            <w:r>
              <w:rPr>
                <w:szCs w:val="21"/>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526" w:type="dxa"/>
            <w:vMerge w:val="continue"/>
            <w:noWrap w:val="0"/>
            <w:vAlign w:val="center"/>
          </w:tcPr>
          <w:p>
            <w:pPr>
              <w:jc w:val="center"/>
              <w:rPr>
                <w:szCs w:val="21"/>
              </w:rPr>
            </w:pPr>
          </w:p>
        </w:tc>
        <w:tc>
          <w:tcPr>
            <w:tcW w:w="1276" w:type="dxa"/>
            <w:vMerge w:val="continue"/>
            <w:noWrap w:val="0"/>
            <w:vAlign w:val="center"/>
          </w:tcPr>
          <w:p>
            <w:pPr>
              <w:jc w:val="center"/>
              <w:rPr>
                <w:szCs w:val="21"/>
              </w:rPr>
            </w:pPr>
          </w:p>
        </w:tc>
        <w:tc>
          <w:tcPr>
            <w:tcW w:w="1417" w:type="dxa"/>
            <w:vMerge w:val="continue"/>
            <w:noWrap w:val="0"/>
            <w:vAlign w:val="center"/>
          </w:tcPr>
          <w:p>
            <w:pPr>
              <w:jc w:val="center"/>
              <w:rPr>
                <w:szCs w:val="21"/>
              </w:rPr>
            </w:pPr>
          </w:p>
        </w:tc>
        <w:tc>
          <w:tcPr>
            <w:tcW w:w="3255" w:type="dxa"/>
            <w:vMerge w:val="continue"/>
            <w:noWrap w:val="0"/>
            <w:vAlign w:val="center"/>
          </w:tcPr>
          <w:p>
            <w:pPr>
              <w:jc w:val="center"/>
              <w:rPr>
                <w:szCs w:val="21"/>
              </w:rPr>
            </w:pPr>
          </w:p>
        </w:tc>
        <w:tc>
          <w:tcPr>
            <w:tcW w:w="2557" w:type="dxa"/>
            <w:vMerge w:val="continue"/>
            <w:noWrap w:val="0"/>
            <w:vAlign w:val="center"/>
          </w:tcPr>
          <w:p>
            <w:pPr>
              <w:jc w:val="center"/>
              <w:rPr>
                <w:szCs w:val="21"/>
              </w:rPr>
            </w:pPr>
          </w:p>
        </w:tc>
        <w:tc>
          <w:tcPr>
            <w:tcW w:w="2268" w:type="dxa"/>
            <w:noWrap w:val="0"/>
            <w:vAlign w:val="center"/>
          </w:tcPr>
          <w:p>
            <w:pPr>
              <w:jc w:val="center"/>
              <w:rPr>
                <w:szCs w:val="21"/>
              </w:rPr>
            </w:pPr>
            <w:r>
              <w:rPr>
                <w:szCs w:val="21"/>
              </w:rPr>
              <w:t>罚没款金额（万元）</w:t>
            </w:r>
          </w:p>
        </w:tc>
        <w:tc>
          <w:tcPr>
            <w:tcW w:w="1843" w:type="dxa"/>
            <w:noWrap w:val="0"/>
            <w:vAlign w:val="center"/>
          </w:tcPr>
          <w:p>
            <w:pPr>
              <w:jc w:val="center"/>
              <w:rPr>
                <w:szCs w:val="21"/>
              </w:rPr>
            </w:pPr>
            <w:r>
              <w:rPr>
                <w:szCs w:val="21"/>
              </w:rPr>
              <w:t>其他行政处罚及件数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26" w:type="dxa"/>
            <w:noWrap w:val="0"/>
            <w:vAlign w:val="center"/>
          </w:tcPr>
          <w:p>
            <w:pPr>
              <w:jc w:val="center"/>
              <w:rPr>
                <w:szCs w:val="21"/>
              </w:rPr>
            </w:pPr>
            <w:r>
              <w:rPr>
                <w:szCs w:val="21"/>
              </w:rPr>
              <w:t>医疗机构</w:t>
            </w:r>
          </w:p>
        </w:tc>
        <w:tc>
          <w:tcPr>
            <w:tcW w:w="1276" w:type="dxa"/>
            <w:noWrap w:val="0"/>
            <w:vAlign w:val="center"/>
          </w:tcPr>
          <w:p>
            <w:pPr>
              <w:jc w:val="center"/>
              <w:rPr>
                <w:szCs w:val="21"/>
              </w:rPr>
            </w:pPr>
          </w:p>
        </w:tc>
        <w:tc>
          <w:tcPr>
            <w:tcW w:w="1417" w:type="dxa"/>
            <w:noWrap w:val="0"/>
            <w:vAlign w:val="center"/>
          </w:tcPr>
          <w:p>
            <w:pPr>
              <w:jc w:val="center"/>
              <w:rPr>
                <w:szCs w:val="21"/>
              </w:rPr>
            </w:pPr>
          </w:p>
        </w:tc>
        <w:tc>
          <w:tcPr>
            <w:tcW w:w="3255" w:type="dxa"/>
            <w:noWrap w:val="0"/>
            <w:vAlign w:val="center"/>
          </w:tcPr>
          <w:p>
            <w:pPr>
              <w:jc w:val="center"/>
              <w:rPr>
                <w:szCs w:val="21"/>
              </w:rPr>
            </w:pPr>
            <w:r>
              <w:rPr>
                <w:szCs w:val="21"/>
              </w:rPr>
              <w:t>（行数可添加）</w:t>
            </w:r>
          </w:p>
        </w:tc>
        <w:tc>
          <w:tcPr>
            <w:tcW w:w="2557" w:type="dxa"/>
            <w:noWrap w:val="0"/>
            <w:vAlign w:val="center"/>
          </w:tcPr>
          <w:p>
            <w:pPr>
              <w:jc w:val="center"/>
              <w:rPr>
                <w:szCs w:val="21"/>
              </w:rPr>
            </w:pPr>
          </w:p>
        </w:tc>
        <w:tc>
          <w:tcPr>
            <w:tcW w:w="2268" w:type="dxa"/>
            <w:noWrap w:val="0"/>
            <w:vAlign w:val="center"/>
          </w:tcPr>
          <w:p>
            <w:pPr>
              <w:jc w:val="center"/>
              <w:rPr>
                <w:szCs w:val="21"/>
              </w:rPr>
            </w:pP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26" w:type="dxa"/>
            <w:noWrap w:val="0"/>
            <w:vAlign w:val="center"/>
          </w:tcPr>
          <w:p>
            <w:pPr>
              <w:spacing w:line="360" w:lineRule="exact"/>
              <w:jc w:val="center"/>
              <w:rPr>
                <w:szCs w:val="21"/>
              </w:rPr>
            </w:pPr>
            <w:r>
              <w:rPr>
                <w:szCs w:val="21"/>
              </w:rPr>
              <w:t>疾病预防控制机构</w:t>
            </w:r>
          </w:p>
        </w:tc>
        <w:tc>
          <w:tcPr>
            <w:tcW w:w="1276" w:type="dxa"/>
            <w:noWrap w:val="0"/>
            <w:vAlign w:val="center"/>
          </w:tcPr>
          <w:p>
            <w:pPr>
              <w:jc w:val="center"/>
              <w:rPr>
                <w:szCs w:val="21"/>
              </w:rPr>
            </w:pPr>
          </w:p>
        </w:tc>
        <w:tc>
          <w:tcPr>
            <w:tcW w:w="1417" w:type="dxa"/>
            <w:noWrap w:val="0"/>
            <w:vAlign w:val="center"/>
          </w:tcPr>
          <w:p>
            <w:pPr>
              <w:jc w:val="center"/>
              <w:rPr>
                <w:szCs w:val="21"/>
              </w:rPr>
            </w:pPr>
          </w:p>
        </w:tc>
        <w:tc>
          <w:tcPr>
            <w:tcW w:w="3255" w:type="dxa"/>
            <w:noWrap w:val="0"/>
            <w:vAlign w:val="center"/>
          </w:tcPr>
          <w:p>
            <w:pPr>
              <w:jc w:val="center"/>
              <w:rPr>
                <w:szCs w:val="21"/>
              </w:rPr>
            </w:pPr>
          </w:p>
        </w:tc>
        <w:tc>
          <w:tcPr>
            <w:tcW w:w="2557" w:type="dxa"/>
            <w:noWrap w:val="0"/>
            <w:vAlign w:val="center"/>
          </w:tcPr>
          <w:p>
            <w:pPr>
              <w:jc w:val="center"/>
              <w:rPr>
                <w:szCs w:val="21"/>
              </w:rPr>
            </w:pPr>
          </w:p>
        </w:tc>
        <w:tc>
          <w:tcPr>
            <w:tcW w:w="2268" w:type="dxa"/>
            <w:noWrap w:val="0"/>
            <w:vAlign w:val="center"/>
          </w:tcPr>
          <w:p>
            <w:pPr>
              <w:jc w:val="center"/>
              <w:rPr>
                <w:szCs w:val="21"/>
              </w:rPr>
            </w:pPr>
          </w:p>
        </w:tc>
        <w:tc>
          <w:tcPr>
            <w:tcW w:w="1843"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26" w:type="dxa"/>
            <w:noWrap w:val="0"/>
            <w:vAlign w:val="center"/>
          </w:tcPr>
          <w:p>
            <w:pPr>
              <w:jc w:val="center"/>
              <w:rPr>
                <w:szCs w:val="21"/>
              </w:rPr>
            </w:pPr>
            <w:r>
              <w:rPr>
                <w:szCs w:val="21"/>
              </w:rPr>
              <w:t>采供血机构</w:t>
            </w:r>
          </w:p>
        </w:tc>
        <w:tc>
          <w:tcPr>
            <w:tcW w:w="1276" w:type="dxa"/>
            <w:noWrap w:val="0"/>
            <w:vAlign w:val="center"/>
          </w:tcPr>
          <w:p>
            <w:pPr>
              <w:jc w:val="center"/>
              <w:rPr>
                <w:szCs w:val="21"/>
              </w:rPr>
            </w:pPr>
          </w:p>
        </w:tc>
        <w:tc>
          <w:tcPr>
            <w:tcW w:w="1417" w:type="dxa"/>
            <w:noWrap w:val="0"/>
            <w:vAlign w:val="center"/>
          </w:tcPr>
          <w:p>
            <w:pPr>
              <w:jc w:val="center"/>
              <w:rPr>
                <w:szCs w:val="21"/>
              </w:rPr>
            </w:pPr>
          </w:p>
        </w:tc>
        <w:tc>
          <w:tcPr>
            <w:tcW w:w="3255" w:type="dxa"/>
            <w:noWrap w:val="0"/>
            <w:vAlign w:val="center"/>
          </w:tcPr>
          <w:p>
            <w:pPr>
              <w:jc w:val="center"/>
              <w:rPr>
                <w:szCs w:val="21"/>
              </w:rPr>
            </w:pPr>
          </w:p>
        </w:tc>
        <w:tc>
          <w:tcPr>
            <w:tcW w:w="2557" w:type="dxa"/>
            <w:noWrap w:val="0"/>
            <w:vAlign w:val="center"/>
          </w:tcPr>
          <w:p>
            <w:pPr>
              <w:jc w:val="center"/>
              <w:rPr>
                <w:szCs w:val="21"/>
              </w:rPr>
            </w:pPr>
          </w:p>
        </w:tc>
        <w:tc>
          <w:tcPr>
            <w:tcW w:w="2268" w:type="dxa"/>
            <w:noWrap w:val="0"/>
            <w:vAlign w:val="center"/>
          </w:tcPr>
          <w:p>
            <w:pPr>
              <w:jc w:val="center"/>
              <w:rPr>
                <w:szCs w:val="21"/>
              </w:rPr>
            </w:pPr>
          </w:p>
        </w:tc>
        <w:tc>
          <w:tcPr>
            <w:tcW w:w="1843"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6" w:type="dxa"/>
            <w:noWrap w:val="0"/>
            <w:vAlign w:val="center"/>
          </w:tcPr>
          <w:p>
            <w:pPr>
              <w:jc w:val="center"/>
              <w:rPr>
                <w:szCs w:val="21"/>
              </w:rPr>
            </w:pPr>
            <w:r>
              <w:rPr>
                <w:szCs w:val="21"/>
              </w:rPr>
              <w:t>合计</w:t>
            </w:r>
          </w:p>
        </w:tc>
        <w:tc>
          <w:tcPr>
            <w:tcW w:w="1276" w:type="dxa"/>
            <w:noWrap w:val="0"/>
            <w:vAlign w:val="center"/>
          </w:tcPr>
          <w:p>
            <w:pPr>
              <w:jc w:val="center"/>
              <w:rPr>
                <w:szCs w:val="21"/>
              </w:rPr>
            </w:pPr>
          </w:p>
        </w:tc>
        <w:tc>
          <w:tcPr>
            <w:tcW w:w="1417" w:type="dxa"/>
            <w:noWrap w:val="0"/>
            <w:vAlign w:val="center"/>
          </w:tcPr>
          <w:p>
            <w:pPr>
              <w:jc w:val="center"/>
              <w:rPr>
                <w:szCs w:val="21"/>
              </w:rPr>
            </w:pPr>
          </w:p>
        </w:tc>
        <w:tc>
          <w:tcPr>
            <w:tcW w:w="3255" w:type="dxa"/>
            <w:noWrap w:val="0"/>
            <w:vAlign w:val="center"/>
          </w:tcPr>
          <w:p>
            <w:pPr>
              <w:jc w:val="center"/>
              <w:rPr>
                <w:szCs w:val="21"/>
              </w:rPr>
            </w:pPr>
            <w:r>
              <w:rPr>
                <w:szCs w:val="21"/>
                <w:shd w:val="clear" w:color="auto" w:fill="FFFFFF"/>
              </w:rPr>
              <w:t>—</w:t>
            </w:r>
          </w:p>
        </w:tc>
        <w:tc>
          <w:tcPr>
            <w:tcW w:w="2557" w:type="dxa"/>
            <w:noWrap w:val="0"/>
            <w:vAlign w:val="center"/>
          </w:tcPr>
          <w:p>
            <w:pPr>
              <w:jc w:val="center"/>
              <w:rPr>
                <w:szCs w:val="21"/>
              </w:rPr>
            </w:pPr>
          </w:p>
        </w:tc>
        <w:tc>
          <w:tcPr>
            <w:tcW w:w="2268" w:type="dxa"/>
            <w:noWrap w:val="0"/>
            <w:vAlign w:val="center"/>
          </w:tcPr>
          <w:p>
            <w:pPr>
              <w:jc w:val="center"/>
              <w:rPr>
                <w:szCs w:val="21"/>
              </w:rPr>
            </w:pPr>
          </w:p>
        </w:tc>
        <w:tc>
          <w:tcPr>
            <w:tcW w:w="1843" w:type="dxa"/>
            <w:noWrap w:val="0"/>
            <w:vAlign w:val="top"/>
          </w:tcPr>
          <w:p>
            <w:pPr>
              <w:jc w:val="center"/>
              <w:rPr>
                <w:szCs w:val="21"/>
              </w:rPr>
            </w:pPr>
          </w:p>
        </w:tc>
      </w:tr>
    </w:tbl>
    <w:p>
      <w:pPr>
        <w:ind w:firstLine="210" w:firstLineChars="100"/>
        <w:rPr>
          <w:szCs w:val="21"/>
        </w:rPr>
      </w:pPr>
      <w:r>
        <w:rPr>
          <w:szCs w:val="21"/>
        </w:rPr>
        <w:t>注：表格中没有的内容，填“</w:t>
      </w:r>
      <w:r>
        <w:rPr>
          <w:szCs w:val="21"/>
          <w:shd w:val="clear" w:color="auto" w:fill="FFFFFF"/>
        </w:rPr>
        <w:t>—</w:t>
      </w:r>
      <w:r>
        <w:rPr>
          <w:szCs w:val="21"/>
        </w:rPr>
        <w:t>”。</w:t>
      </w:r>
    </w:p>
    <w:p>
      <w:pPr>
        <w:rPr>
          <w:szCs w:val="21"/>
        </w:rPr>
      </w:pPr>
      <w:r>
        <w:rPr>
          <w:szCs w:val="21"/>
        </w:rPr>
        <w:t xml:space="preserve">  </w:t>
      </w:r>
    </w:p>
    <w:p>
      <w:pPr>
        <w:rPr>
          <w:rFonts w:eastAsia="方正仿宋_GBK"/>
        </w:rPr>
      </w:pPr>
      <w:r>
        <w:rPr>
          <w:szCs w:val="21"/>
        </w:rPr>
        <w:t xml:space="preserve"> 填表单位（盖章）：                填表人：                          联系电话：                        填表日期：   </w:t>
      </w:r>
      <w:r>
        <w:t xml:space="preserve">     </w:t>
      </w:r>
      <w:r>
        <w:rPr>
          <w:rFonts w:eastAsia="方正仿宋_GBK"/>
        </w:rPr>
        <w:t xml:space="preserve">       </w:t>
      </w:r>
    </w:p>
    <w:p>
      <w:pPr>
        <w:ind w:firstLine="640" w:firstLineChars="200"/>
        <w:jc w:val="left"/>
        <w:rPr>
          <w:rFonts w:eastAsia="方正仿宋_GBK"/>
          <w:sz w:val="32"/>
          <w:szCs w:val="32"/>
        </w:rPr>
      </w:pPr>
    </w:p>
    <w:p>
      <w:pPr>
        <w:spacing w:line="560" w:lineRule="exact"/>
        <w:rPr>
          <w:rFonts w:eastAsia="仿宋"/>
          <w:sz w:val="32"/>
          <w:szCs w:val="32"/>
        </w:rPr>
      </w:pPr>
    </w:p>
    <w:p>
      <w:pPr>
        <w:spacing w:line="560" w:lineRule="exact"/>
        <w:rPr>
          <w:rFonts w:eastAsia="仿宋"/>
          <w:sz w:val="32"/>
          <w:szCs w:val="32"/>
        </w:rPr>
        <w:sectPr>
          <w:pgSz w:w="16838" w:h="11906" w:orient="landscape"/>
          <w:pgMar w:top="1440" w:right="1080" w:bottom="1440" w:left="1080" w:header="851" w:footer="992" w:gutter="0"/>
          <w:pgNumType w:fmt="numberInDash"/>
          <w:cols w:space="720" w:num="1"/>
          <w:docGrid w:linePitch="312" w:charSpace="0"/>
        </w:sectPr>
      </w:pPr>
    </w:p>
    <w:p>
      <w:pPr>
        <w:tabs>
          <w:tab w:val="left" w:pos="69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1B74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2022-08-12T01:48:40Z</dcterms:created>
  <dc:creator>vivoBook 15</dc:creator>
  <cp:lastModifiedBy>壳儿</cp:lastModifiedBy>
  <dcterms:modified xsi:type="dcterms:W3CDTF">2022-08-12T01:49:54Z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3B9C50621E384C388E294E7A2F369B41</vt:lpwstr>
  </property>
</Properties>
</file>