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highlight w:val="none"/>
        </w:rPr>
        <w:t>附件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南川区增补叶酸预防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神经管缺陷考核标准</w:t>
      </w:r>
    </w:p>
    <w:tbl>
      <w:tblPr>
        <w:tblStyle w:val="4"/>
        <w:tblpPr w:leftFromText="180" w:rightFromText="180" w:vertAnchor="text" w:horzAnchor="page" w:tblpX="1522" w:tblpY="469"/>
        <w:tblOverlap w:val="never"/>
        <w:tblW w:w="138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3828"/>
        <w:gridCol w:w="6051"/>
        <w:gridCol w:w="1518"/>
        <w:gridCol w:w="1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4"/>
                <w:lang w:val="en-US" w:eastAsia="zh-CN"/>
              </w:rPr>
              <w:t>评估项目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4"/>
                <w:lang w:val="en-US" w:eastAsia="zh-CN"/>
              </w:rPr>
              <w:t>评估内容及标准</w:t>
            </w:r>
          </w:p>
        </w:tc>
        <w:tc>
          <w:tcPr>
            <w:tcW w:w="6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4"/>
                <w:lang w:val="en-US" w:eastAsia="zh-CN"/>
              </w:rPr>
              <w:t>评分标准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4"/>
                <w:lang w:val="en-US" w:eastAsia="zh-CN"/>
              </w:rPr>
              <w:t>扣分原因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8"/>
                <w:szCs w:val="24"/>
                <w:lang w:val="en-US" w:eastAsia="zh-CN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既往问题整改（5分）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对前一次督导问题进行整改（5分）。</w:t>
            </w:r>
          </w:p>
        </w:tc>
        <w:tc>
          <w:tcPr>
            <w:tcW w:w="6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问题列表中查看整改落实情况，未整改一项扣1分，扣完为止；没整改不得分。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摸底调查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（5分）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对辖区目标人群进行摸底调查（5分）。</w:t>
            </w:r>
          </w:p>
        </w:tc>
        <w:tc>
          <w:tcPr>
            <w:tcW w:w="6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查看辖区常住育龄妇女花名册、孕产妇花名册、母子健康手册发放花名册，缺1项扣2分；查看区妇幼保健院有无孕优登记册、婚检登记、孕产妇花名册、母子健康手册发放花名册，缺1项扣2分。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人员培训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（5分）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各基层单位开展院内及乡村医生培训，了解核心内容。</w:t>
            </w:r>
          </w:p>
        </w:tc>
        <w:tc>
          <w:tcPr>
            <w:tcW w:w="6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查看培训课件、签到册、培训照片、培训简报，缺1项扣1分，扣完为止。未开展培训不得分。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宣传活动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（10分）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开展好叶酸、出生缺陷项目健康知识宣传活动、宣传讲座等，每年不得少于2次（10分）。</w:t>
            </w:r>
          </w:p>
        </w:tc>
        <w:tc>
          <w:tcPr>
            <w:tcW w:w="6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查看宣传活动或宣传讲座照片、简报、课件等，缺1项扣2分；缺1次宣传活动或宣传讲座扣3分；未开展宣传活动或讲座的不得分。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信息报送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（5分）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半年报表报送要及时、准确、规范（5分）。</w:t>
            </w:r>
          </w:p>
        </w:tc>
        <w:tc>
          <w:tcPr>
            <w:tcW w:w="6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由区项目负责人统计提供为准，报表迟报1次扣0.5分，漏报1次扣1分，报表逻辑错误1处扣0.2分，扣完为止。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药品管理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（10分）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药品要进行出入库登记，账目必须相符（5分）。</w:t>
            </w:r>
          </w:p>
        </w:tc>
        <w:tc>
          <w:tcPr>
            <w:tcW w:w="6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查看出入库登记册，无登记册扣5分；登记不及时扣1分，账目不相符扣2分，未登记扣3分。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有无过期药品发放，针对过期药品要进行登记管理（5分）。</w:t>
            </w:r>
          </w:p>
        </w:tc>
        <w:tc>
          <w:tcPr>
            <w:tcW w:w="6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查看有无过期药品登记册，无登记册扣2分；过期药品未登记扣5分。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发放管理、指标要求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（30分）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随访登记表、发放情况表、知情同意书、知识问卷、保险单等资料要齐全并归档（15分）。</w:t>
            </w:r>
          </w:p>
        </w:tc>
        <w:tc>
          <w:tcPr>
            <w:tcW w:w="6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查看随访登记表、发放情况表、知情同意书、知识问卷、保险单缺1项扣2分；资料填写缺1项扣0.5分，填写不规范扣0.5分；档案未归档扣1分，不规范扣0.5分，扣完为止。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目标人群发放服用率≥90%（15分）。</w:t>
            </w:r>
          </w:p>
        </w:tc>
        <w:tc>
          <w:tcPr>
            <w:tcW w:w="6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发放服用率下降1个百分点扣1.5分，扣完为止。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效果评估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（30分）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目标人群知识知晓率≥95%（10分）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依从率≥80%（10分）。</w:t>
            </w:r>
          </w:p>
        </w:tc>
        <w:tc>
          <w:tcPr>
            <w:tcW w:w="6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现场随机抽查服务对象10人，知识知晓率≥95%得10分，下降1个百分点扣1分，扣完为止；依从率≥80%得10分，下降1个百分点扣1.5分，扣完为止。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随访并督促规范服药。（10分）</w:t>
            </w:r>
          </w:p>
        </w:tc>
        <w:tc>
          <w:tcPr>
            <w:tcW w:w="6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0"/>
                <w:lang w:val="en-US" w:eastAsia="zh-CN"/>
              </w:rPr>
              <w:t>现场随机抽查服务对象10人，了解发放真实性及督促服药情况。1人不真实扣2分，1人未随访扣2分，扣完为止。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NzZiNGNhYzZkNzAzY2FiZDA3NzJhOWMwYmQ4MGUifQ=="/>
  </w:docVars>
  <w:rsids>
    <w:rsidRoot w:val="311133AC"/>
    <w:rsid w:val="3111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2023-06-01T01:34:00Z</dcterms:created>
  <dc:creator>公卫科</dc:creator>
  <cp:lastModifiedBy>公卫科</cp:lastModifiedBy>
  <dcterms:modified xsi:type="dcterms:W3CDTF">2023-06-01T01:34:39Z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64736F2BD37447E6BBF6B02FE5BA2D7F_11</vt:lpwstr>
  </property>
</Properties>
</file>