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Times New Roman" w:hAnsi="Times New Roman" w:eastAsia="方正黑体_GBK" w:cs="Times New Roman"/>
          <w:spacing w:val="4"/>
          <w:kern w:val="0"/>
        </w:rPr>
      </w:pPr>
      <w:bookmarkStart w:id="0" w:name="OLE_LINK51"/>
    </w:p>
    <w:p>
      <w:pPr>
        <w:snapToGrid w:val="0"/>
        <w:spacing w:line="600" w:lineRule="exact"/>
        <w:jc w:val="left"/>
        <w:rPr>
          <w:rFonts w:ascii="Times New Roman" w:hAnsi="Times New Roman" w:eastAsia="方正仿宋_GBK" w:cs="Times New Roman"/>
          <w:spacing w:val="4"/>
          <w:kern w:val="0"/>
        </w:rPr>
      </w:pPr>
    </w:p>
    <w:p>
      <w:pPr>
        <w:snapToGrid w:val="0"/>
        <w:spacing w:line="600" w:lineRule="exact"/>
        <w:jc w:val="left"/>
        <w:rPr>
          <w:rFonts w:ascii="Times New Roman" w:hAnsi="Times New Roman" w:eastAsia="方正仿宋_GBK" w:cs="Times New Roman"/>
          <w:spacing w:val="4"/>
          <w:kern w:val="0"/>
        </w:rPr>
      </w:pPr>
      <w:r>
        <w:rPr>
          <w:rFonts w:ascii="Times New Roman" w:hAnsi="Times New Roman" w:eastAsia="宋体"/>
        </w:rPr>
        <w:pict>
          <v:shape id="_x0000_s1026" o:spid="_x0000_s1026" o:spt="136" type="#_x0000_t136" style="position:absolute;left:0pt;margin-left:91.5pt;margin-top:74.2pt;height:66.7pt;width:408.25pt;mso-position-horizontal-relative:page;mso-position-vertical-relative:margin;z-index:251659264;mso-width-relative:page;mso-height-relative:page;" fillcolor="#FF0000" filled="t" o:preferrelative="t" stroked="f" coordsize="21600,21600">
            <v:path/>
            <v:fill on="t" focussize="0,0"/>
            <v:stroke on="f"/>
            <v:imagedata o:title=""/>
            <o:lock v:ext="edit" text="f"/>
            <v:textpath on="t" fitshape="t" fitpath="t" trim="t" xscale="f" string="重庆市南川区医疗保障局文件" style="font-family:方正小标宋_GBK;font-size:36pt;font-weight:bold;v-text-align:center;"/>
          </v:shape>
        </w:pict>
      </w:r>
    </w:p>
    <w:p>
      <w:pPr>
        <w:snapToGrid w:val="0"/>
        <w:spacing w:line="600" w:lineRule="exact"/>
        <w:jc w:val="left"/>
        <w:rPr>
          <w:rFonts w:ascii="Times New Roman" w:hAnsi="Times New Roman" w:eastAsia="方正仿宋_GBK" w:cs="Times New Roman"/>
          <w:spacing w:val="4"/>
          <w:kern w:val="0"/>
        </w:rPr>
      </w:pPr>
    </w:p>
    <w:p>
      <w:pPr>
        <w:tabs>
          <w:tab w:val="left" w:pos="7360"/>
        </w:tabs>
        <w:snapToGrid w:val="0"/>
        <w:spacing w:line="600" w:lineRule="exact"/>
        <w:jc w:val="left"/>
        <w:rPr>
          <w:rFonts w:ascii="Times New Roman" w:hAnsi="Times New Roman" w:eastAsia="方正仿宋_GBK" w:cs="Times New Roman"/>
          <w:spacing w:val="4"/>
          <w:kern w:val="0"/>
        </w:rPr>
      </w:pPr>
    </w:p>
    <w:p>
      <w:pPr>
        <w:snapToGrid w:val="0"/>
        <w:spacing w:line="600" w:lineRule="exact"/>
        <w:jc w:val="left"/>
        <w:rPr>
          <w:rFonts w:ascii="Times New Roman" w:hAnsi="Times New Roman" w:eastAsia="方正仿宋_GBK" w:cs="Times New Roman"/>
          <w:spacing w:val="4"/>
          <w:kern w:val="0"/>
        </w:rPr>
      </w:pPr>
    </w:p>
    <w:p>
      <w:pPr>
        <w:snapToGrid w:val="0"/>
        <w:spacing w:line="600" w:lineRule="exact"/>
        <w:jc w:val="center"/>
        <w:rPr>
          <w:rFonts w:ascii="Times New Roman" w:hAnsi="Times New Roman" w:eastAsia="方正仿宋_GBK" w:cs="Times New Roman"/>
          <w:spacing w:val="4"/>
          <w:kern w:val="0"/>
          <w:sz w:val="32"/>
          <w:szCs w:val="32"/>
        </w:rPr>
      </w:pPr>
    </w:p>
    <w:p>
      <w:pPr>
        <w:snapToGrid w:val="0"/>
        <w:spacing w:line="600" w:lineRule="exact"/>
        <w:jc w:val="center"/>
        <w:rPr>
          <w:rFonts w:ascii="Times New Roman" w:hAnsi="Times New Roman" w:eastAsia="方正楷体_GBK" w:cs="Times New Roman"/>
          <w:spacing w:val="4"/>
          <w:kern w:val="0"/>
          <w:sz w:val="32"/>
          <w:szCs w:val="32"/>
        </w:rPr>
      </w:pPr>
      <w:r>
        <w:rPr>
          <w:rFonts w:ascii="Times New Roman" w:hAnsi="Times New Roman" w:eastAsia="方正仿宋_GBK" w:cs="Times New Roman"/>
          <w:spacing w:val="4"/>
          <w:kern w:val="0"/>
          <w:sz w:val="32"/>
          <w:szCs w:val="32"/>
        </w:rPr>
        <w:t>南川医保</w:t>
      </w:r>
      <w:r>
        <w:rPr>
          <w:rFonts w:hint="eastAsia" w:ascii="Times New Roman" w:hAnsi="Times New Roman" w:eastAsia="方正仿宋_GBK" w:cs="Times New Roman"/>
          <w:spacing w:val="4"/>
          <w:kern w:val="0"/>
          <w:sz w:val="32"/>
          <w:szCs w:val="32"/>
        </w:rPr>
        <w:t>发</w:t>
      </w:r>
      <w:r>
        <w:rPr>
          <w:rFonts w:ascii="Times New Roman" w:hAnsi="Times New Roman" w:eastAsia="方正仿宋_GBK" w:cs="Times New Roman"/>
          <w:spacing w:val="4"/>
          <w:kern w:val="0"/>
          <w:sz w:val="32"/>
          <w:szCs w:val="32"/>
        </w:rPr>
        <w:t>〔202</w:t>
      </w:r>
      <w:r>
        <w:rPr>
          <w:rFonts w:hint="eastAsia" w:ascii="Times New Roman" w:hAnsi="Times New Roman" w:eastAsia="方正仿宋_GBK" w:cs="Times New Roman"/>
          <w:spacing w:val="4"/>
          <w:kern w:val="0"/>
          <w:sz w:val="32"/>
          <w:szCs w:val="32"/>
        </w:rPr>
        <w:t>3</w:t>
      </w:r>
      <w:r>
        <w:rPr>
          <w:rFonts w:ascii="Times New Roman" w:hAnsi="Times New Roman" w:eastAsia="方正仿宋_GBK" w:cs="Times New Roman"/>
          <w:spacing w:val="4"/>
          <w:kern w:val="0"/>
          <w:sz w:val="32"/>
          <w:szCs w:val="32"/>
        </w:rPr>
        <w:t>〕</w:t>
      </w:r>
      <w:r>
        <w:rPr>
          <w:rFonts w:hint="eastAsia" w:ascii="Times New Roman" w:hAnsi="Times New Roman" w:eastAsia="方正仿宋_GBK" w:cs="Times New Roman"/>
          <w:spacing w:val="4"/>
          <w:kern w:val="0"/>
          <w:sz w:val="32"/>
          <w:szCs w:val="32"/>
        </w:rPr>
        <w:t>29</w:t>
      </w:r>
      <w:r>
        <w:rPr>
          <w:rFonts w:ascii="Times New Roman" w:hAnsi="Times New Roman" w:eastAsia="方正仿宋_GBK" w:cs="Times New Roman"/>
          <w:spacing w:val="4"/>
          <w:kern w:val="0"/>
          <w:sz w:val="32"/>
          <w:szCs w:val="32"/>
        </w:rPr>
        <w:t>号</w:t>
      </w:r>
      <w:bookmarkEnd w:id="0"/>
    </w:p>
    <w:p>
      <w:pPr>
        <w:snapToGrid w:val="0"/>
        <w:spacing w:line="600" w:lineRule="exact"/>
        <w:rPr>
          <w:rFonts w:ascii="Times New Roman" w:hAnsi="Times New Roman" w:eastAsia="方正仿宋_GBK" w:cs="Times New Roman"/>
        </w:rPr>
      </w:pPr>
      <w:r>
        <w:rPr>
          <w:rFonts w:hint="eastAsia" w:ascii="方正小标宋_GBK" w:hAnsi="Times New Roman" w:eastAsia="方正小标宋_GBK"/>
        </w:rPr>
        <mc:AlternateContent>
          <mc:Choice Requires="wps">
            <w:drawing>
              <wp:anchor distT="0" distB="0" distL="114300" distR="114300" simplePos="0" relativeHeight="251660288" behindDoc="0" locked="0" layoutInCell="1" allowOverlap="1">
                <wp:simplePos x="0" y="0"/>
                <wp:positionH relativeFrom="page">
                  <wp:posOffset>952500</wp:posOffset>
                </wp:positionH>
                <wp:positionV relativeFrom="margin">
                  <wp:posOffset>3115945</wp:posOffset>
                </wp:positionV>
                <wp:extent cx="5615940" cy="635"/>
                <wp:effectExtent l="0" t="10795" r="3810" b="17145"/>
                <wp:wrapNone/>
                <wp:docPr id="5" name="直线 3"/>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5pt;margin-top:245.35pt;height:0.05pt;width:442.2pt;mso-position-horizontal-relative:page;mso-position-vertical-relative:margin;z-index:251660288;mso-width-relative:page;mso-height-relative:page;" filled="f" stroked="t" coordsize="21600,21600" o:gfxdata="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LCVXraAAAA&#10;DAEAAA8AAAAAAAAAAQAgAAAAOAAAAGRycy9kb3ducmV2LnhtbFBLAQIUABQAAAAIAIdO4kDejvf2&#10;zAEAAJIDAAAOAAAAAAAAAAEAIAAAAD8BAABkcnMvZTJvRG9jLnhtbFBLBQYAAAAABgAGAFkBAAB9&#10;BQAAAAA=&#10;">
                <v:fill on="f" focussize="0,0"/>
                <v:stroke weight="1.75pt" color="#FF0000" joinstyle="round"/>
                <v:imagedata o:title=""/>
                <o:lock v:ext="edit" aspectratio="f"/>
              </v:line>
            </w:pict>
          </mc:Fallback>
        </mc:AlternateContent>
      </w:r>
    </w:p>
    <w:p>
      <w:pPr>
        <w:snapToGrid w:val="0"/>
        <w:spacing w:line="600" w:lineRule="exact"/>
        <w:jc w:val="center"/>
        <w:rPr>
          <w:rFonts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重庆市南川区医疗保障局</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中共</w:t>
      </w:r>
      <w:r>
        <w:rPr>
          <w:rFonts w:hint="eastAsia" w:ascii="Times New Roman" w:hAnsi="Times New Roman" w:eastAsia="方正小标宋_GBK" w:cs="Times New Roman"/>
          <w:sz w:val="44"/>
          <w:szCs w:val="44"/>
        </w:rPr>
        <w:t>重庆市</w:t>
      </w:r>
      <w:r>
        <w:rPr>
          <w:rFonts w:ascii="Times New Roman" w:hAnsi="Times New Roman" w:eastAsia="方正小标宋_GBK" w:cs="Times New Roman"/>
          <w:sz w:val="44"/>
          <w:szCs w:val="44"/>
        </w:rPr>
        <w:t>南川区委政法委员会</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重庆市南川区人民检察院</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重庆市南川区公安局</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重庆市南川区财政局</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重庆市南川区卫生健康委员会</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关于开展医保领域打击欺诈骗保</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专项整治工作的通知</w:t>
      </w:r>
    </w:p>
    <w:p>
      <w:pPr>
        <w:spacing w:line="600" w:lineRule="exact"/>
        <w:rPr>
          <w:rFonts w:ascii="Times New Roman" w:hAnsi="Times New Roman" w:eastAsia="方正仿宋_GBK" w:cs="Times New Roman"/>
          <w:sz w:val="32"/>
          <w:szCs w:val="32"/>
        </w:rPr>
      </w:pPr>
    </w:p>
    <w:p>
      <w:pPr>
        <w:spacing w:line="6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各有关单位，各定点</w:t>
      </w:r>
      <w:r>
        <w:rPr>
          <w:rFonts w:hint="eastAsia" w:ascii="Times New Roman" w:hAnsi="Times New Roman" w:eastAsia="方正仿宋_GBK" w:cs="Times New Roman"/>
          <w:sz w:val="32"/>
          <w:szCs w:val="32"/>
        </w:rPr>
        <w:t>医疗</w:t>
      </w:r>
      <w:r>
        <w:rPr>
          <w:rFonts w:ascii="Times New Roman" w:hAnsi="Times New Roman" w:eastAsia="方正仿宋_GBK" w:cs="Times New Roman"/>
          <w:sz w:val="32"/>
          <w:szCs w:val="32"/>
        </w:rPr>
        <w:t>机构：</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现将《2023年医保领域打击欺诈骗保专项整治工作方案》印发给你们，请遵照执行。</w:t>
      </w:r>
    </w:p>
    <w:p>
      <w:pPr>
        <w:spacing w:line="600" w:lineRule="exact"/>
        <w:rPr>
          <w:rFonts w:ascii="Times New Roman" w:hAnsi="Times New Roman" w:eastAsia="方正仿宋_GBK" w:cs="Times New Roman"/>
          <w:sz w:val="32"/>
          <w:szCs w:val="32"/>
        </w:rPr>
      </w:pPr>
    </w:p>
    <w:p>
      <w:pPr>
        <w:spacing w:line="600" w:lineRule="exact"/>
        <w:rPr>
          <w:rFonts w:hint="eastAsia" w:ascii="Times New Roman" w:hAnsi="Times New Roman" w:eastAsia="方正仿宋_GBK" w:cs="Times New Roman"/>
          <w:sz w:val="32"/>
          <w:szCs w:val="32"/>
        </w:rPr>
      </w:pPr>
    </w:p>
    <w:p>
      <w:pPr>
        <w:spacing w:line="600" w:lineRule="exact"/>
        <w:jc w:val="center"/>
        <w:rPr>
          <w:rFonts w:hint="eastAsia" w:ascii="Times New Roman" w:hAnsi="Times New Roman" w:eastAsia="方正仿宋_GBK" w:cs="Times New Roman"/>
          <w:spacing w:val="-11"/>
          <w:sz w:val="32"/>
          <w:szCs w:val="32"/>
        </w:rPr>
      </w:pPr>
      <w:r>
        <w:rPr>
          <w:rFonts w:ascii="Times New Roman" w:hAnsi="Times New Roman" w:eastAsia="方正仿宋_GBK" w:cs="Times New Roman"/>
          <w:sz w:val="32"/>
          <w:szCs w:val="32"/>
        </w:rPr>
        <w:t xml:space="preserve">重庆市南川区医疗保障局  </w:t>
      </w:r>
      <w:r>
        <w:rPr>
          <w:rFonts w:ascii="Times New Roman" w:hAnsi="Times New Roman" w:eastAsia="方正仿宋_GBK" w:cs="Times New Roman"/>
          <w:spacing w:val="-11"/>
          <w:sz w:val="32"/>
          <w:szCs w:val="32"/>
        </w:rPr>
        <w:t>中共</w:t>
      </w:r>
      <w:r>
        <w:rPr>
          <w:rFonts w:hint="eastAsia" w:ascii="Times New Roman" w:hAnsi="Times New Roman" w:eastAsia="方正仿宋_GBK" w:cs="Times New Roman"/>
          <w:spacing w:val="-11"/>
          <w:sz w:val="32"/>
          <w:szCs w:val="32"/>
        </w:rPr>
        <w:t>重庆市南川</w:t>
      </w:r>
      <w:r>
        <w:rPr>
          <w:rFonts w:ascii="Times New Roman" w:hAnsi="Times New Roman" w:eastAsia="方正仿宋_GBK" w:cs="Times New Roman"/>
          <w:spacing w:val="-11"/>
          <w:sz w:val="32"/>
          <w:szCs w:val="32"/>
        </w:rPr>
        <w:t>区委政法委员会</w:t>
      </w:r>
    </w:p>
    <w:p>
      <w:pPr>
        <w:pStyle w:val="2"/>
        <w:spacing w:before="0" w:after="0" w:line="600" w:lineRule="exact"/>
        <w:jc w:val="center"/>
        <w:rPr>
          <w:rFonts w:hint="eastAsia"/>
        </w:rPr>
      </w:pPr>
    </w:p>
    <w:p>
      <w:pPr>
        <w:pStyle w:val="2"/>
        <w:spacing w:before="0" w:after="0" w:line="600" w:lineRule="exact"/>
        <w:jc w:val="center"/>
        <w:rPr>
          <w:rFonts w:hint="eastAsia"/>
        </w:rPr>
      </w:pPr>
    </w:p>
    <w:p>
      <w:pPr>
        <w:jc w:val="center"/>
      </w:pPr>
    </w:p>
    <w:p>
      <w:pPr>
        <w:spacing w:line="600" w:lineRule="exact"/>
        <w:jc w:val="center"/>
        <w:rPr>
          <w:rFonts w:hint="eastAsia" w:ascii="Times New Roman" w:hAnsi="Times New Roman" w:eastAsia="方正仿宋_GBK" w:cs="Times New Roman"/>
          <w:spacing w:val="20"/>
          <w:sz w:val="32"/>
          <w:szCs w:val="32"/>
        </w:rPr>
      </w:pPr>
      <w:r>
        <w:rPr>
          <w:rFonts w:ascii="Times New Roman" w:hAnsi="Times New Roman" w:eastAsia="方正仿宋_GBK" w:cs="Times New Roman"/>
          <w:sz w:val="32"/>
          <w:szCs w:val="32"/>
        </w:rPr>
        <w:t xml:space="preserve">重庆市南川区人民检察院     </w:t>
      </w:r>
      <w:r>
        <w:rPr>
          <w:rFonts w:ascii="Times New Roman" w:hAnsi="Times New Roman" w:eastAsia="方正仿宋_GBK" w:cs="Times New Roman"/>
          <w:spacing w:val="20"/>
          <w:sz w:val="32"/>
          <w:szCs w:val="32"/>
        </w:rPr>
        <w:t>重庆市南川区公安局</w:t>
      </w:r>
    </w:p>
    <w:p>
      <w:pPr>
        <w:pStyle w:val="2"/>
        <w:spacing w:before="0" w:after="0" w:line="600" w:lineRule="exact"/>
        <w:jc w:val="center"/>
        <w:rPr>
          <w:rFonts w:hint="eastAsia"/>
        </w:rPr>
      </w:pPr>
    </w:p>
    <w:p>
      <w:pPr>
        <w:pStyle w:val="2"/>
        <w:spacing w:before="0" w:after="0" w:line="600" w:lineRule="exact"/>
        <w:jc w:val="center"/>
        <w:rPr>
          <w:rFonts w:hint="eastAsia"/>
        </w:rPr>
      </w:pPr>
    </w:p>
    <w:p>
      <w:pPr>
        <w:jc w:val="center"/>
      </w:pPr>
    </w:p>
    <w:p>
      <w:pPr>
        <w:spacing w:line="600" w:lineRule="exact"/>
        <w:jc w:val="center"/>
        <w:rPr>
          <w:rFonts w:hint="eastAsia" w:ascii="Times New Roman" w:hAnsi="Times New Roman" w:eastAsia="方正仿宋_GBK" w:cs="Times New Roman"/>
          <w:sz w:val="32"/>
          <w:szCs w:val="32"/>
        </w:rPr>
      </w:pPr>
      <w:r>
        <w:rPr>
          <w:rFonts w:ascii="Times New Roman" w:hAnsi="Times New Roman" w:eastAsia="方正仿宋_GBK" w:cs="Times New Roman"/>
          <w:spacing w:val="20"/>
          <w:sz w:val="32"/>
          <w:szCs w:val="32"/>
        </w:rPr>
        <w:t xml:space="preserve">重庆市南川区财政局    </w:t>
      </w:r>
      <w:r>
        <w:rPr>
          <w:rFonts w:ascii="Times New Roman" w:hAnsi="Times New Roman" w:eastAsia="方正仿宋_GBK" w:cs="Times New Roman"/>
          <w:sz w:val="32"/>
          <w:szCs w:val="32"/>
        </w:rPr>
        <w:t>重庆市南川区卫生健康委员会</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w:t>
      </w:r>
    </w:p>
    <w:p>
      <w:pPr>
        <w:spacing w:line="600" w:lineRule="exact"/>
        <w:ind w:firstLine="640" w:firstLineChars="200"/>
        <w:rPr>
          <w:rFonts w:ascii="Times New Roman" w:hAnsi="Times New Roman" w:cs="Times New Roman"/>
        </w:rPr>
      </w:pPr>
      <w:r>
        <w:rPr>
          <w:rFonts w:ascii="Times New Roman" w:hAnsi="Times New Roman" w:eastAsia="方正仿宋_GBK" w:cs="Times New Roman"/>
          <w:sz w:val="32"/>
          <w:szCs w:val="32"/>
        </w:rPr>
        <w:t>（此件</w:t>
      </w:r>
      <w:r>
        <w:rPr>
          <w:rFonts w:hint="eastAsia" w:ascii="Times New Roman" w:hAnsi="Times New Roman" w:eastAsia="方正仿宋_GBK" w:cs="Times New Roman"/>
          <w:sz w:val="32"/>
          <w:szCs w:val="32"/>
          <w:lang w:eastAsia="zh-CN"/>
        </w:rPr>
        <w:t>公开发布</w:t>
      </w:r>
      <w:bookmarkStart w:id="1" w:name="_GoBack"/>
      <w:bookmarkEnd w:id="1"/>
      <w:r>
        <w:rPr>
          <w:rFonts w:ascii="Times New Roman" w:hAnsi="Times New Roman" w:eastAsia="方正仿宋_GBK" w:cs="Times New Roman"/>
          <w:sz w:val="32"/>
          <w:szCs w:val="32"/>
        </w:rPr>
        <w:t>）</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2023年医保领域打击欺诈骗保</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专项整治工作方案</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为贯彻落实党中央、国务院决策部署，按照</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医保局统一部署，组织实施医保基金监管安全规范年行动，不断强化医保基金监管，</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医保局联合</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委政法委、</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人民检察院、</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公安局、</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财政局、</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卫生健康委在全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范围开展医保领域打击欺诈骗保专项整治工作，严厉打击各类欺诈骗保行为，切实维护医保基金安全，制定本方案。</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全面贯彻落实党的二十大和习近平总书记关于加强医疗保障基金监管的重要指示批示精神，忠实履职，密切配合，深入开展专项整治，查处一批大案要案，打击一批犯罪团伙，不断完善制度规范，健全监管机制，坚决守住医保基金安全底线，实现好、维护好、发展好最广大人民根本利益。</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二、基本原则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（一）坚持问题导向。</w:t>
      </w:r>
      <w:r>
        <w:rPr>
          <w:rFonts w:ascii="Times New Roman" w:hAnsi="Times New Roman" w:eastAsia="方正仿宋_GBK" w:cs="Times New Roman"/>
          <w:sz w:val="32"/>
          <w:szCs w:val="32"/>
        </w:rPr>
        <w:t>聚焦党中央、国务院重点关注以及人民群众反映强烈的突出问题，聚焦基金监管重点难点问题，着力打击超越底线、屡禁不止的欺诈骗保行为。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（二）坚持信息赋能。</w:t>
      </w:r>
      <w:r>
        <w:rPr>
          <w:rFonts w:ascii="Times New Roman" w:hAnsi="Times New Roman" w:eastAsia="方正仿宋_GBK" w:cs="Times New Roman"/>
          <w:sz w:val="32"/>
          <w:szCs w:val="32"/>
        </w:rPr>
        <w:t>以医保信息平台为依托，构建大数据模型，筛查分析可疑数据线索，不断完善非现场监管与现场监管有机结合的整体布局。建立部门间数据共享与研判机制，精准打击各类欺诈骗保行为。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（三）坚持协调联动。</w:t>
      </w:r>
      <w:r>
        <w:rPr>
          <w:rFonts w:ascii="Times New Roman" w:hAnsi="Times New Roman" w:eastAsia="方正仿宋_GBK" w:cs="Times New Roman"/>
          <w:sz w:val="32"/>
          <w:szCs w:val="32"/>
        </w:rPr>
        <w:t>统筹监管资源，明确责任分工，加强各部门间的协同配合和各层级间的上下联动，完善各司其职、各负其责、相互配合、齐抓共管的协同监管机制。</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三、职责分工</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（一）成立领导小组</w:t>
      </w:r>
    </w:p>
    <w:p>
      <w:pPr>
        <w:spacing w:line="600" w:lineRule="exact"/>
        <w:ind w:firstLine="640" w:firstLineChars="200"/>
      </w:pPr>
      <w:r>
        <w:rPr>
          <w:rFonts w:hint="eastAsia" w:ascii="Times New Roman" w:hAnsi="Times New Roman" w:eastAsia="方正仿宋_GBK" w:cs="Times New Roman"/>
          <w:sz w:val="32"/>
          <w:szCs w:val="32"/>
        </w:rPr>
        <w:t>成立以区医保局、区委政法委、区人民检察院、区公安局、区财政局、区卫生健康委为成员单位的南川区2023年医保领域打击欺诈骗保专项整治领导小组。区医保局为牵头单位，具体如下：</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  长：区医保局党组书记、局长  周子涵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副组长：区医保局党组成员、医保中心主任  陈燕妮</w:t>
      </w:r>
    </w:p>
    <w:p>
      <w:pPr>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区委政法委副书记  李</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琼</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区人民检察院党组成员、副检察长  陈  东        </w:t>
      </w:r>
    </w:p>
    <w:p>
      <w:pPr>
        <w:spacing w:line="600" w:lineRule="exact"/>
        <w:ind w:firstLine="1920" w:firstLineChars="6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区公安局刑侦支队副支队长  李卫平</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区财政局党组成员、副局长 李伟伟</w:t>
      </w:r>
    </w:p>
    <w:p>
      <w:pPr>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区卫生健康委党委委员、副主任  杨廷泽</w:t>
      </w:r>
    </w:p>
    <w:p>
      <w:pPr>
        <w:spacing w:line="600" w:lineRule="exact"/>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仿宋_GBK" w:cs="Times New Roman"/>
          <w:sz w:val="32"/>
          <w:szCs w:val="32"/>
        </w:rPr>
        <w:t>成  员：区医保局监督管理科、定点机构管理科</w:t>
      </w:r>
    </w:p>
    <w:p>
      <w:pPr>
        <w:spacing w:line="600" w:lineRule="exact"/>
        <w:ind w:firstLine="1920" w:firstLineChars="6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区委政法委平安建设指导科        </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区人民检察院检察一部        </w:t>
      </w:r>
    </w:p>
    <w:p>
      <w:pPr>
        <w:spacing w:line="600" w:lineRule="exact"/>
        <w:ind w:firstLine="1920" w:firstLineChars="6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区公安局刑侦支队三大队</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区财政局社会保障科</w:t>
      </w:r>
    </w:p>
    <w:p>
      <w:pPr>
        <w:spacing w:line="600" w:lineRule="exact"/>
        <w:ind w:firstLine="1920" w:firstLineChars="6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区卫生健康委医政科、行政审批法制科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专项整治领导小组下设办公室在区医保局监督管理科，负责日常联络、沟通协调和汇总上报等工作。各成员单位负责根据职能职责，协同推进打击欺诈骗保专项整治。</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（二）具体分工</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医保</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负责牵头开展专项整治，加强人员力量，强化技术手段，对纳入医疗保障基金支付范围的医疗服务行为和费用进行监督，依法查处违法使用医疗保障基金的行为。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区委</w:t>
      </w:r>
      <w:r>
        <w:rPr>
          <w:rFonts w:ascii="Times New Roman" w:hAnsi="Times New Roman" w:eastAsia="方正仿宋_GBK" w:cs="Times New Roman"/>
          <w:sz w:val="32"/>
          <w:szCs w:val="32"/>
        </w:rPr>
        <w:t>政法委负责统筹推动相关单位开展打击欺诈骗保工作，将相关工作纳入平安</w:t>
      </w:r>
      <w:r>
        <w:rPr>
          <w:rFonts w:hint="eastAsia" w:ascii="Times New Roman" w:hAnsi="Times New Roman" w:eastAsia="方正仿宋_GBK" w:cs="Times New Roman"/>
          <w:sz w:val="32"/>
          <w:szCs w:val="32"/>
        </w:rPr>
        <w:t>南川</w:t>
      </w:r>
      <w:r>
        <w:rPr>
          <w:rFonts w:ascii="Times New Roman" w:hAnsi="Times New Roman" w:eastAsia="方正仿宋_GBK" w:cs="Times New Roman"/>
          <w:sz w:val="32"/>
          <w:szCs w:val="32"/>
        </w:rPr>
        <w:t>考核。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区人民</w:t>
      </w:r>
      <w:r>
        <w:rPr>
          <w:rFonts w:ascii="Times New Roman" w:hAnsi="Times New Roman" w:eastAsia="方正仿宋_GBK" w:cs="Times New Roman"/>
          <w:sz w:val="32"/>
          <w:szCs w:val="32"/>
        </w:rPr>
        <w:t>检察</w:t>
      </w:r>
      <w:r>
        <w:rPr>
          <w:rFonts w:hint="eastAsia" w:ascii="Times New Roman" w:hAnsi="Times New Roman" w:eastAsia="方正仿宋_GBK" w:cs="Times New Roman"/>
          <w:sz w:val="32"/>
          <w:szCs w:val="32"/>
        </w:rPr>
        <w:t>院</w:t>
      </w:r>
      <w:r>
        <w:rPr>
          <w:rFonts w:ascii="Times New Roman" w:hAnsi="Times New Roman" w:eastAsia="方正仿宋_GBK" w:cs="Times New Roman"/>
          <w:sz w:val="32"/>
          <w:szCs w:val="32"/>
        </w:rPr>
        <w:t>负责依法审查逮捕、审查起诉各类欺诈骗保犯罪案件，并对相关案件办理实施法律监督。对重大、疑难、复杂案件提前介入引导侦查，推动研究解决欺诈骗保司法实践中反映突出的法律适用问题，通过制发检察建议、工作提示等方式堵漏建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负责严厉打击各类欺诈骗保犯罪行为，对医保领域不构成刑事处罚的犯罪嫌疑人需要行政处理的，依法移送医保部门。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依职责对医保基金使用管理情况实施监督，协助完成医疗收费电子票据查验等。</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负责加强医疗机构和医疗服务行业监管，督促医疗机构规范诊疗行为；根据核实的情况，对医疗机构和相关人员的违法行为依法依规处理；规范和加强医疗机构内部价格管理。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各部门要依法依职责开展专项整治工作，确保整治效果，不断完善协同监管机制，强化线索排查和案件情况通报，健全重大案件同步上案和挂牌督办制度，推动行政执法与刑事司法深度衔接。</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四、工作举措</w:t>
      </w:r>
    </w:p>
    <w:p>
      <w:pPr>
        <w:spacing w:line="60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楷体_GBK" w:cs="Times New Roman"/>
          <w:sz w:val="32"/>
          <w:szCs w:val="32"/>
        </w:rPr>
        <w:t>（一）聚焦整治重点。</w:t>
      </w:r>
      <w:r>
        <w:rPr>
          <w:rFonts w:ascii="Times New Roman" w:hAnsi="Times New Roman" w:eastAsia="方正仿宋_GBK" w:cs="Times New Roman"/>
          <w:sz w:val="32"/>
          <w:szCs w:val="32"/>
        </w:rPr>
        <w:t>依据《医疗保障基金使用监督管理条例》中有关规定，按照</w:t>
      </w:r>
      <w:r>
        <w:rPr>
          <w:rFonts w:hint="eastAsia" w:ascii="Times New Roman" w:hAnsi="Times New Roman" w:eastAsia="方正仿宋_GBK" w:cs="Times New Roman"/>
          <w:sz w:val="32"/>
          <w:szCs w:val="32"/>
        </w:rPr>
        <w:t>市医保局</w:t>
      </w:r>
      <w:r>
        <w:rPr>
          <w:rFonts w:ascii="Times New Roman" w:hAnsi="Times New Roman" w:eastAsia="方正仿宋_GBK" w:cs="Times New Roman"/>
          <w:sz w:val="32"/>
          <w:szCs w:val="32"/>
        </w:rPr>
        <w:t>统一安排，今年我</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医保领域打击欺诈骗保专项整治针对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假病人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假病情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等欺诈骗保行为进行重点打击。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一是聚焦骨科、血液净化、心血管内科、检查、检验、康复理疗等重点领域。对骨科、血液净化、心血管内科领域，结合</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医保局下发的骨科高值医用耗材、冠状动脉介入治疗、血液净化专项检查工作指南，开展打击欺诈骗保工作。结合实际，全面开展排查整治，对检查、检验、康复理疗领域，查处欺诈骗保违法犯罪行为。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聚焦重点药品、耗材。运用好现有的监测大数据，对2022年医保结算费用排名靠前重点药品耗材（附件1）的基金使用情况予以监测，对其他出现异常增长的药品、耗材等，也要予以重点关注，分析其中可能存在的欺诈骗保行为，并予以严厉打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三是聚焦虚假就医、医保药品倒卖等重点行为。特别</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针对异地就医、门诊统筹等政策实施后容易发生的违法违规行为（附件2），严厉打击涉嫌违法违规的机构和团伙，采取有效措施加强监管。</w:t>
      </w:r>
    </w:p>
    <w:p>
      <w:pPr>
        <w:numPr>
          <w:ilvl w:val="0"/>
          <w:numId w:val="1"/>
        </w:num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强化大数据监管。</w:t>
      </w:r>
      <w:r>
        <w:rPr>
          <w:rFonts w:ascii="Times New Roman" w:hAnsi="Times New Roman" w:eastAsia="方正仿宋_GBK" w:cs="Times New Roman"/>
          <w:sz w:val="32"/>
          <w:szCs w:val="32"/>
        </w:rPr>
        <w:t>逐条核查国家医保局</w:t>
      </w:r>
      <w:r>
        <w:rPr>
          <w:rFonts w:hint="eastAsia" w:ascii="Times New Roman" w:hAnsi="Times New Roman" w:eastAsia="方正仿宋_GBK" w:cs="Times New Roman"/>
          <w:sz w:val="32"/>
          <w:szCs w:val="32"/>
        </w:rPr>
        <w:t>、市医保局</w:t>
      </w:r>
      <w:r>
        <w:rPr>
          <w:rFonts w:ascii="Times New Roman" w:hAnsi="Times New Roman" w:eastAsia="方正仿宋_GBK" w:cs="Times New Roman"/>
          <w:sz w:val="32"/>
          <w:szCs w:val="32"/>
        </w:rPr>
        <w:t>联合公安部门根据大数据模型筛查下发的可疑线索核查任务，做到逐条反馈、逐级上报。加强部门间数据共享运用，打破数据壁垒，不断强化数据赋能，提升精准化、智能化水平。</w:t>
      </w:r>
    </w:p>
    <w:p>
      <w:pPr>
        <w:numPr>
          <w:ilvl w:val="0"/>
          <w:numId w:val="1"/>
        </w:num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加强宣传曝光和舆情监测。</w:t>
      </w:r>
      <w:r>
        <w:rPr>
          <w:rFonts w:ascii="Times New Roman" w:hAnsi="Times New Roman" w:eastAsia="方正仿宋_GBK" w:cs="Times New Roman"/>
          <w:sz w:val="32"/>
          <w:szCs w:val="32"/>
        </w:rPr>
        <w:t xml:space="preserve">各部门要结合专项整治工作重点及进展，梳理总结典型经验，曝光典型案例，强化警示震慑。建立舆情应对机制，做好舆情风险评估，制定舆情应对预案，对有重大舆情风险的要及时处置上报。 </w:t>
      </w:r>
    </w:p>
    <w:p>
      <w:pPr>
        <w:numPr>
          <w:ilvl w:val="0"/>
          <w:numId w:val="1"/>
        </w:num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健全长效机制。</w:t>
      </w:r>
      <w:r>
        <w:rPr>
          <w:rFonts w:ascii="Times New Roman" w:hAnsi="Times New Roman" w:eastAsia="方正仿宋_GBK" w:cs="Times New Roman"/>
          <w:sz w:val="32"/>
          <w:szCs w:val="32"/>
        </w:rPr>
        <w:t>各部门要将完善医保基金监管制度机制贯穿专项整治工作始终，制定有效措施，不断健全打击欺诈骗保长效机制。</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五、工作安排</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（一）启动整治工作。</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部门联合下发关于开展打击欺诈骗保专项整治工作的通知，召开2023年</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打击欺诈骗保专项整治会议，对整治工作进行动员部署。（2023年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月完成）</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（二）开展集中整治。</w:t>
      </w:r>
      <w:r>
        <w:rPr>
          <w:rFonts w:ascii="Times New Roman" w:hAnsi="Times New Roman" w:eastAsia="方正仿宋_GBK" w:cs="Times New Roman"/>
          <w:sz w:val="32"/>
          <w:szCs w:val="32"/>
        </w:rPr>
        <w:t>按照整治重点，依纪依法依规开展联合整治工作。</w:t>
      </w:r>
      <w:r>
        <w:rPr>
          <w:rFonts w:hint="eastAsia" w:ascii="Times New Roman" w:hAnsi="Times New Roman" w:eastAsia="方正仿宋_GBK" w:cs="Times New Roman"/>
          <w:sz w:val="32"/>
          <w:szCs w:val="32"/>
        </w:rPr>
        <w:t>区医保局</w:t>
      </w:r>
      <w:r>
        <w:rPr>
          <w:rFonts w:ascii="Times New Roman" w:hAnsi="Times New Roman" w:eastAsia="方正仿宋_GBK" w:cs="Times New Roman"/>
          <w:sz w:val="32"/>
          <w:szCs w:val="32"/>
        </w:rPr>
        <w:t>牵头对辖区内定点医疗机构开展现场检查。（2023年11月完成）</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（三）加强总结上报。</w:t>
      </w:r>
      <w:r>
        <w:rPr>
          <w:rFonts w:hint="eastAsia" w:ascii="Times New Roman" w:hAnsi="Times New Roman" w:eastAsia="方正仿宋_GBK" w:cs="Times New Roman"/>
          <w:sz w:val="32"/>
          <w:szCs w:val="32"/>
        </w:rPr>
        <w:t>区医保局</w:t>
      </w:r>
      <w:r>
        <w:rPr>
          <w:rFonts w:ascii="Times New Roman" w:hAnsi="Times New Roman" w:eastAsia="方正仿宋_GBK" w:cs="Times New Roman"/>
          <w:sz w:val="32"/>
          <w:szCs w:val="32"/>
        </w:rPr>
        <w:t>及时梳理专项整治进展情况，分析典型案例，加强经验总结并及时上报。按季度填报医保基金工作情况统计表，全面总结汇报专项整治行动情况。（2023年11月完成）</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六、工作要求</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加强思想认识</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要充分认识做好专项整治的重要性，明确整治重点，加强协调联动，细化责任分工，依法忠实履职</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严肃工作纪律，严格遵守执法、安全、保密、廉洁等各项规定，有力打击欺诈骗保行为。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（二）深化部门联动。</w:t>
      </w:r>
      <w:r>
        <w:rPr>
          <w:rFonts w:ascii="Times New Roman" w:hAnsi="Times New Roman" w:eastAsia="方正仿宋_GBK" w:cs="Times New Roman"/>
          <w:sz w:val="32"/>
          <w:szCs w:val="32"/>
        </w:rPr>
        <w:t>要充分发挥各部门优势，强化部门合力，加强线索排查、案件移送、联查联办、情况通报等。要加强与纪检监察部门的衔接配合，积极移交涉嫌腐败相关问题线索，推进打击欺诈骗保、纠正医药领域不正之风与腐败问题一体纠治。</w:t>
      </w:r>
    </w:p>
    <w:p>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（三）强化责任落实。</w:t>
      </w:r>
      <w:r>
        <w:rPr>
          <w:rFonts w:ascii="Times New Roman" w:hAnsi="Times New Roman" w:eastAsia="方正仿宋_GBK" w:cs="Times New Roman"/>
          <w:sz w:val="32"/>
          <w:szCs w:val="32"/>
        </w:rPr>
        <w:t>要压实工作责任，建立健全评价考核机制。</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医保局将把专项整治工作情况与</w:t>
      </w:r>
      <w:r>
        <w:rPr>
          <w:rFonts w:hint="eastAsia" w:ascii="Times New Roman" w:hAnsi="Times New Roman" w:eastAsia="方正仿宋_GBK" w:cs="Times New Roman"/>
          <w:sz w:val="32"/>
          <w:szCs w:val="32"/>
        </w:rPr>
        <w:t>定点医疗机构考核</w:t>
      </w:r>
      <w:r>
        <w:rPr>
          <w:rFonts w:ascii="Times New Roman" w:hAnsi="Times New Roman" w:eastAsia="方正仿宋_GBK" w:cs="Times New Roman"/>
          <w:sz w:val="32"/>
          <w:szCs w:val="32"/>
        </w:rPr>
        <w:t>相衔接</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（四）强化保障措施。</w:t>
      </w:r>
      <w:r>
        <w:rPr>
          <w:rFonts w:ascii="Times New Roman" w:hAnsi="Times New Roman" w:eastAsia="方正仿宋_GBK" w:cs="Times New Roman"/>
          <w:sz w:val="32"/>
          <w:szCs w:val="32"/>
        </w:rPr>
        <w:t>要加大对监督检查机构、人员、车辆等方面的支持力度，尤其是对大数据监管方面给予有力支撑，推动开发监管新工具，构建基金监管新格局。</w:t>
      </w:r>
    </w:p>
    <w:p>
      <w:pPr>
        <w:spacing w:line="600" w:lineRule="exact"/>
        <w:ind w:firstLine="72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 xml:space="preserve"> 医 保 局 联系人：</w:t>
      </w:r>
      <w:r>
        <w:rPr>
          <w:rFonts w:hint="eastAsia" w:ascii="Times New Roman" w:hAnsi="Times New Roman" w:eastAsia="方正仿宋_GBK" w:cs="Times New Roman"/>
          <w:sz w:val="32"/>
          <w:szCs w:val="32"/>
        </w:rPr>
        <w:t xml:space="preserve">吴文艳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rPr>
        <w:t>64566377</w:t>
      </w:r>
    </w:p>
    <w:p>
      <w:pPr>
        <w:spacing w:line="600" w:lineRule="exact"/>
        <w:ind w:firstLine="7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 xml:space="preserve"> 委 政法委联系人：张健川</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71422390</w:t>
      </w:r>
    </w:p>
    <w:p>
      <w:pPr>
        <w:spacing w:line="600" w:lineRule="exact"/>
        <w:ind w:firstLine="72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人民检察院联系人：何</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熠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rPr>
        <w:t>64563215</w:t>
      </w:r>
    </w:p>
    <w:p>
      <w:pPr>
        <w:spacing w:line="600" w:lineRule="exact"/>
        <w:ind w:firstLine="7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 xml:space="preserve"> 公 安 局 联系人：</w:t>
      </w:r>
      <w:r>
        <w:rPr>
          <w:rFonts w:hint="eastAsia" w:ascii="Times New Roman" w:hAnsi="Times New Roman" w:eastAsia="方正仿宋_GBK" w:cs="Times New Roman"/>
          <w:sz w:val="32"/>
          <w:szCs w:val="32"/>
        </w:rPr>
        <w:t>廖  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71663186</w:t>
      </w:r>
    </w:p>
    <w:p>
      <w:pPr>
        <w:spacing w:line="600" w:lineRule="exact"/>
        <w:ind w:firstLine="7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 xml:space="preserve"> 财 政 局 联系人：</w:t>
      </w:r>
      <w:r>
        <w:rPr>
          <w:rFonts w:hint="eastAsia" w:ascii="Times New Roman" w:hAnsi="Times New Roman" w:eastAsia="方正仿宋_GBK" w:cs="Times New Roman"/>
          <w:sz w:val="32"/>
          <w:szCs w:val="32"/>
        </w:rPr>
        <w:t>邓  静</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rPr>
        <w:t>71414405</w:t>
      </w:r>
    </w:p>
    <w:p>
      <w:pPr>
        <w:spacing w:line="600" w:lineRule="exact"/>
        <w:ind w:firstLine="7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卫生健康委联系人：陈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瑶</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71413121</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ascii="Times New Roman" w:hAnsi="Times New Roman" w:eastAsia="方正仿宋_GBK" w:cs="Times New Roman"/>
          <w:bCs/>
          <w:sz w:val="32"/>
          <w:szCs w:val="32"/>
        </w:rPr>
        <w:t>2022年医保结算费用排名靠前重点药品耗材</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2．重点违法违规行为</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rPr>
          <w:rFonts w:ascii="Times New Roman" w:hAnsi="Times New Roman" w:eastAsia="方正仿宋_GBK"/>
          <w:sz w:val="32"/>
          <w:szCs w:val="32"/>
        </w:rPr>
      </w:pPr>
      <w:r>
        <w:rPr>
          <w:rFonts w:ascii="Times New Roman" w:hAnsi="Times New Roman" w:eastAsia="方正黑体_GBK"/>
          <w:sz w:val="32"/>
          <w:szCs w:val="32"/>
        </w:rPr>
        <w:t>附件1</w:t>
      </w:r>
    </w:p>
    <w:tbl>
      <w:tblPr>
        <w:tblStyle w:val="16"/>
        <w:tblpPr w:leftFromText="180" w:rightFromText="180" w:vertAnchor="text" w:horzAnchor="page" w:tblpXSpec="center" w:tblpY="660"/>
        <w:tblOverlap w:val="never"/>
        <w:tblW w:w="9043" w:type="dxa"/>
        <w:jc w:val="center"/>
        <w:tblLayout w:type="fixed"/>
        <w:tblCellMar>
          <w:top w:w="0" w:type="dxa"/>
          <w:left w:w="0" w:type="dxa"/>
          <w:bottom w:w="0" w:type="dxa"/>
          <w:right w:w="0" w:type="dxa"/>
        </w:tblCellMar>
      </w:tblPr>
      <w:tblGrid>
        <w:gridCol w:w="466"/>
        <w:gridCol w:w="765"/>
        <w:gridCol w:w="3551"/>
        <w:gridCol w:w="2352"/>
        <w:gridCol w:w="1909"/>
      </w:tblGrid>
      <w:tr>
        <w:tblPrEx>
          <w:tblCellMar>
            <w:top w:w="0" w:type="dxa"/>
            <w:left w:w="0" w:type="dxa"/>
            <w:bottom w:w="0" w:type="dxa"/>
            <w:right w:w="0" w:type="dxa"/>
          </w:tblCellMar>
        </w:tblPrEx>
        <w:trPr>
          <w:trHeight w:val="420" w:hRule="atLeast"/>
          <w:jc w:val="center"/>
        </w:trPr>
        <w:tc>
          <w:tcPr>
            <w:tcW w:w="9043" w:type="dxa"/>
            <w:gridSpan w:val="5"/>
            <w:tcBorders>
              <w:top w:val="nil"/>
              <w:left w:val="nil"/>
              <w:bottom w:val="nil"/>
              <w:right w:val="nil"/>
            </w:tcBorders>
            <w:noWrap/>
            <w:tcMar>
              <w:top w:w="15" w:type="dxa"/>
              <w:left w:w="15" w:type="dxa"/>
              <w:right w:w="15" w:type="dxa"/>
            </w:tcMar>
            <w:vAlign w:val="center"/>
          </w:tcPr>
          <w:p>
            <w:pPr>
              <w:spacing w:line="600" w:lineRule="exact"/>
              <w:jc w:val="center"/>
              <w:rPr>
                <w:rFonts w:hint="default" w:ascii="Times New Roman" w:hAnsi="Times New Roman" w:eastAsia="方正仿宋_GBK" w:cs="Times New Roman"/>
                <w:b/>
                <w:color w:val="000000"/>
                <w:sz w:val="32"/>
                <w:szCs w:val="32"/>
              </w:rPr>
            </w:pPr>
            <w:r>
              <w:rPr>
                <w:rFonts w:hint="default" w:ascii="Times New Roman" w:hAnsi="Times New Roman" w:eastAsia="方正小标宋_GBK" w:cs="Times New Roman"/>
                <w:bCs/>
                <w:color w:val="000000"/>
                <w:kern w:val="0"/>
                <w:sz w:val="36"/>
                <w:szCs w:val="36"/>
                <w:lang w:bidi="ar"/>
              </w:rPr>
              <w:t>2022年医保结算费用排名靠前重点药品耗材</w:t>
            </w:r>
          </w:p>
        </w:tc>
      </w:tr>
      <w:tr>
        <w:tblPrEx>
          <w:tblCellMar>
            <w:top w:w="0" w:type="dxa"/>
            <w:left w:w="0" w:type="dxa"/>
            <w:bottom w:w="0" w:type="dxa"/>
            <w:right w:w="0" w:type="dxa"/>
          </w:tblCellMar>
        </w:tblPrEx>
        <w:trPr>
          <w:trHeight w:val="660" w:hRule="atLeast"/>
          <w:jc w:val="center"/>
        </w:trPr>
        <w:tc>
          <w:tcPr>
            <w:tcW w:w="4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kern w:val="0"/>
                <w:sz w:val="24"/>
                <w:lang w:bidi="ar"/>
              </w:rPr>
              <w:t>西药</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kern w:val="0"/>
                <w:sz w:val="24"/>
                <w:lang w:bidi="ar"/>
              </w:rPr>
              <w:t>序号</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kern w:val="0"/>
                <w:sz w:val="24"/>
                <w:lang w:bidi="ar"/>
              </w:rPr>
              <w:t>医保药品代码</w:t>
            </w:r>
            <w:r>
              <w:rPr>
                <w:rFonts w:hint="default" w:ascii="Times New Roman" w:hAnsi="Times New Roman" w:eastAsia="方正黑体_GBK" w:cs="Times New Roman"/>
                <w:bCs/>
                <w:color w:val="000000"/>
                <w:kern w:val="0"/>
                <w:sz w:val="24"/>
                <w:lang w:bidi="ar"/>
              </w:rPr>
              <w:br w:type="textWrapping"/>
            </w:r>
            <w:r>
              <w:rPr>
                <w:rFonts w:hint="default" w:ascii="Times New Roman" w:hAnsi="Times New Roman" w:eastAsia="方正黑体_GBK" w:cs="Times New Roman"/>
                <w:bCs/>
                <w:color w:val="000000"/>
                <w:kern w:val="0"/>
                <w:sz w:val="24"/>
                <w:lang w:bidi="ar"/>
              </w:rPr>
              <w:t>(前14位)</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kern w:val="0"/>
                <w:sz w:val="24"/>
                <w:lang w:bidi="ar"/>
              </w:rPr>
              <w:t>药品名称</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sz w:val="24"/>
              </w:rPr>
            </w:pPr>
            <w:r>
              <w:rPr>
                <w:rFonts w:hint="default" w:ascii="Times New Roman" w:hAnsi="Times New Roman" w:eastAsia="方正黑体_GBK" w:cs="Times New Roman"/>
                <w:bCs/>
                <w:color w:val="000000"/>
                <w:kern w:val="0"/>
                <w:sz w:val="24"/>
                <w:lang w:bidi="ar"/>
              </w:rPr>
              <w:t>剂型</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XB０５AAR０２１B００１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XB０５AAR０２１B００２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XB０５AAR０２１B００５</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人血白蛋白</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XC１０AAA０６７A００１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阿托伐他汀</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p>
        </w:tc>
      </w:tr>
      <w:tr>
        <w:tblPrEx>
          <w:tblCellMar>
            <w:top w:w="0" w:type="dxa"/>
            <w:left w:w="0" w:type="dxa"/>
            <w:bottom w:w="0" w:type="dxa"/>
            <w:right w:w="0" w:type="dxa"/>
          </w:tblCellMar>
        </w:tblPrEx>
        <w:trPr>
          <w:trHeight w:val="165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XC０８CAX０６６A０１１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XC０８CAX０６６A０１０</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硝苯地平</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硝苯地平Ⅰ</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硝苯地平Ⅱ</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硝苯地平Ⅲ</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硝苯地平Ⅳ</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缓释控释剂型</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4</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XL０１XCB１９４B００２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贝伐珠单抗</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5</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XL０１XEA２９８A００１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甲磺酸奥希替尼片</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片剂</w:t>
            </w:r>
          </w:p>
        </w:tc>
      </w:tr>
      <w:tr>
        <w:tblPrEx>
          <w:tblCellMar>
            <w:top w:w="0" w:type="dxa"/>
            <w:left w:w="0" w:type="dxa"/>
            <w:bottom w:w="0" w:type="dxa"/>
            <w:right w:w="0" w:type="dxa"/>
          </w:tblCellMar>
        </w:tblPrEx>
        <w:trPr>
          <w:trHeight w:val="165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6</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XJ０１DDT０８１B００１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XJ０１DDT０８１B０１３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XJ０１DDT０８１B００３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XJ０１DDT０８１B０１１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XJ０１DDT０８１B０２８</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头孢哌酮舒巴坦</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7</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XL０１XCQ１１０B００１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曲妥珠单抗</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8</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XJ０１CRP０１８B００１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XJ０１CRP０１８B０１４</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哌拉西林他唑巴坦</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9</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XA１０AEG０２５B００２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甘精胰岛素</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10</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XB０１ACL１９０A００１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氯吡格雷</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11</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XC０８CAA１８７A００１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XC０８CAA１８７A０２５</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氨氯地平</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12</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XN０７XXD２２１B００２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丁苯酞氯化钠注射液</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13</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XC０８CAZ０６７A００１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左氨氯地平</w:t>
            </w:r>
          </w:p>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 xml:space="preserve"> (左旋氨氯地平)</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14</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XA１０BKD２５６A００１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达格列净片</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片剂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15</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XN０７CAB０４６B００２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倍他司汀</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16</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XJ０１DHM０４６B００１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XJ０１DHM０４６B０２８</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美罗培南</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17</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XA１０ADM０８０B００２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门冬胰岛素３０</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18</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XN０２AXD０９２B００２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地佐辛注射液</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注射液</w:t>
            </w:r>
          </w:p>
        </w:tc>
      </w:tr>
      <w:tr>
        <w:tblPrEx>
          <w:tblCellMar>
            <w:top w:w="0" w:type="dxa"/>
            <w:left w:w="0" w:type="dxa"/>
            <w:bottom w:w="0" w:type="dxa"/>
            <w:right w:w="0" w:type="dxa"/>
          </w:tblCellMar>
        </w:tblPrEx>
        <w:trPr>
          <w:trHeight w:val="198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19</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XJ０１DCT０７０B００１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XJ０１DCT０７０B０１３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XJ０１DCT０７０B０１１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XJ０１DCT０７０B０２６</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XJ０１DCT０７０B０２８</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XJ０１DCT０７０B００３</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头孢呋辛</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165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20</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XJ０１DDT０９２B００１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XJ０１DDT０９２B０１３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XJ０１DDT０９２B００３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XJ０１DDT０９２B０１１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XJ０１DDT０９２B０２８</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头孢噻肟</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21</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XC１０AAR０６９A００１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瑞舒伐他汀</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22</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XC０７ABM０６２A０１０</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美托洛尔</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缓释控释剂型</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23</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XB０１ACA０５６A０１２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阿司匹林</w:t>
            </w:r>
          </w:p>
        </w:tc>
        <w:tc>
          <w:tcPr>
            <w:tcW w:w="1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(不含分散片)</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24</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XL０４ADT００２E００１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 xml:space="preserve">他克莫司 </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口服常释剂型</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25</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XJ０１DDT１０４B００１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XJ０１DDT１０４B０１１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XJ０１DDT１０４B０２８</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头孢唑肟</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26</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XL０１XCP１３８B００２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帕妥珠单抗注射液</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注射液</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27</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XC０２CXY１６８B００２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银杏叶提取物</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132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28</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XJ０１CRA０４２B００１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XJ０１CRA０４２B０１３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XJ０１CRA０４２B００３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XJ０１CRA０４２B０１１</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阿莫西林克拉维酸</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29</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XL０４ACS２７１B００２</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司库奇尤单抗注射液</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注射液</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30</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XA０２BAF００６B００１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XA０２BAF００６B００３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XA０２BAF００６B０１４</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法莫替丁</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注射剂</w:t>
            </w:r>
          </w:p>
        </w:tc>
      </w:tr>
      <w:tr>
        <w:tblPrEx>
          <w:tblCellMar>
            <w:top w:w="0" w:type="dxa"/>
            <w:left w:w="0" w:type="dxa"/>
            <w:bottom w:w="0" w:type="dxa"/>
            <w:right w:w="0" w:type="dxa"/>
          </w:tblCellMar>
        </w:tblPrEx>
        <w:trPr>
          <w:trHeight w:val="330" w:hRule="atLeast"/>
          <w:jc w:val="center"/>
        </w:trPr>
        <w:tc>
          <w:tcPr>
            <w:tcW w:w="466" w:type="dxa"/>
            <w:tcBorders>
              <w:top w:val="nil"/>
              <w:left w:val="nil"/>
              <w:bottom w:val="single" w:color="auto" w:sz="4" w:space="0"/>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nil"/>
              <w:left w:val="nil"/>
              <w:bottom w:val="single" w:color="auto" w:sz="4" w:space="0"/>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3551" w:type="dxa"/>
            <w:tcBorders>
              <w:top w:val="nil"/>
              <w:left w:val="nil"/>
              <w:bottom w:val="single" w:color="auto" w:sz="4" w:space="0"/>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2352" w:type="dxa"/>
            <w:tcBorders>
              <w:top w:val="nil"/>
              <w:left w:val="nil"/>
              <w:bottom w:val="single" w:color="auto" w:sz="4" w:space="0"/>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1909" w:type="dxa"/>
            <w:tcBorders>
              <w:top w:val="nil"/>
              <w:left w:val="nil"/>
              <w:bottom w:val="single" w:color="auto" w:sz="4" w:space="0"/>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660" w:hRule="atLeast"/>
          <w:jc w:val="center"/>
        </w:trPr>
        <w:tc>
          <w:tcPr>
            <w:tcW w:w="46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kern w:val="0"/>
                <w:sz w:val="24"/>
                <w:lang w:bidi="ar"/>
              </w:rPr>
              <w:t>中成药</w:t>
            </w: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序号</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医保药品代码</w:t>
            </w:r>
            <w:r>
              <w:rPr>
                <w:rFonts w:hint="default" w:ascii="Times New Roman" w:hAnsi="Times New Roman" w:eastAsia="方正黑体_GBK" w:cs="Times New Roman"/>
                <w:bCs/>
                <w:color w:val="000000"/>
                <w:kern w:val="0"/>
                <w:sz w:val="24"/>
                <w:lang w:bidi="ar"/>
              </w:rPr>
              <w:br w:type="textWrapping"/>
            </w:r>
            <w:r>
              <w:rPr>
                <w:rFonts w:hint="default" w:ascii="Times New Roman" w:hAnsi="Times New Roman" w:eastAsia="方正黑体_GBK" w:cs="Times New Roman"/>
                <w:bCs/>
                <w:color w:val="000000"/>
                <w:kern w:val="0"/>
                <w:sz w:val="24"/>
                <w:lang w:bidi="ar"/>
              </w:rPr>
              <w:t>(前11位)</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药品名称</w:t>
            </w:r>
          </w:p>
        </w:tc>
      </w:tr>
      <w:tr>
        <w:tblPrEx>
          <w:tblCellMar>
            <w:top w:w="0" w:type="dxa"/>
            <w:left w:w="0" w:type="dxa"/>
            <w:bottom w:w="0" w:type="dxa"/>
            <w:right w:w="0" w:type="dxa"/>
          </w:tblCellMar>
        </w:tblPrEx>
        <w:trPr>
          <w:trHeight w:val="165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ZA１２BAF０３５４</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ZA１２BAF０３５７</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ZA１２BAF０３５１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ZA１２BAF０３５２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ZA１２BAF０３４９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复方丹参片 (丸、胶囊、颗粒、滴丸)</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ZA１２AAN００５２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ZA１２AAN００５３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ZA１２AAN００５４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脑心通丸 (片、胶囊)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ZA１２AAS０３４０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麝香保心丸</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4</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ZA０７AAA００６１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安宫牛黄丸</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5</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ZA０４BAL００２０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蓝芩口服液</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6</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ZA０９FAJ０４７２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ZA０９FAJ０４７３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金水宝片 (胶囊)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7</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ZA０９FAB０１４８</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百令胶囊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8</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ZA１２HAZ０４１１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注射用血塞通 (冻干)</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9</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ZA１２BAX０１１０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香丹注射液</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10</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ZA０９BAA０００５</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阿胶</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11</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ZA０９HAC０２２１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参松养心胶囊</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12</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ZA１２AAT０２３９</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ZA１２AAT０２４０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通心络片 (胶囊)</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13</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ZC０１AAH０２２２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ZC０１AAH０２２４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华蟾素片 (胶囊)</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14</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ZA０９HAW０１８７</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ZA０９HAW０１８６</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ZA０９HAW０１８８</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稳心片 (胶囊、颗粒)</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15</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ZA０４CAL０１１５</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ZA０４CAL０１１６</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ZA０４CAL０１１７</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连花清瘟片 (胶囊、颗粒)</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16</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ZA０６BBQ０２４０</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ZA０６BBQ０２３８</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ZA０６BBQ０２３９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强力枇杷露 (胶囊、颗粒)</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17</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ZA０４BAP００６１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蒲地蓝消炎口服液</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18</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ZA０６BCS０９７６</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苏黄止咳胶囊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19</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ZA１６EAN００７３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尿毒清颗粒</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20</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ZA１２CAD００８７</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丹红注射液</w:t>
            </w:r>
          </w:p>
        </w:tc>
      </w:tr>
      <w:tr>
        <w:tblPrEx>
          <w:tblCellMar>
            <w:top w:w="0" w:type="dxa"/>
            <w:left w:w="0" w:type="dxa"/>
            <w:bottom w:w="0" w:type="dxa"/>
            <w:right w:w="0" w:type="dxa"/>
          </w:tblCellMar>
        </w:tblPrEx>
        <w:trPr>
          <w:trHeight w:val="264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21</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ZA１２HAY０５５５</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ZA１２HAY０５５２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ZA１２HAY０５５６</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ZA１２HAY０５４９</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ZA１２HAY０５５３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ZA１２HAY０５５４</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ZA１２HAY０５５０</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ZA１２HAY０５６０</w:t>
            </w:r>
          </w:p>
        </w:tc>
        <w:tc>
          <w:tcPr>
            <w:tcW w:w="426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银杏叶丸</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(片、颗粒、胶囊、软胶囊、滴丸、</w:t>
            </w:r>
          </w:p>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口服液、酊)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22</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ZA１２HAS０７７５</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舒血宁注射液</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23</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ZA０９BAF０２８４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复方阿胶浆</w:t>
            </w:r>
          </w:p>
        </w:tc>
      </w:tr>
      <w:tr>
        <w:tblPrEx>
          <w:tblCellMar>
            <w:top w:w="0" w:type="dxa"/>
            <w:left w:w="0" w:type="dxa"/>
            <w:bottom w:w="0" w:type="dxa"/>
            <w:right w:w="0" w:type="dxa"/>
          </w:tblCellMar>
        </w:tblPrEx>
        <w:trPr>
          <w:trHeight w:val="99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24</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ZA０４CAL０１１５</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ZA０４CAL０１１６</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ZA０４CAL０１１７</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连花清瘟片 (胶囊、颗粒)</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25</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ZA０９CAL０２６４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六味地黄丸</w:t>
            </w:r>
          </w:p>
        </w:tc>
      </w:tr>
      <w:tr>
        <w:tblPrEx>
          <w:tblCellMar>
            <w:top w:w="0" w:type="dxa"/>
            <w:left w:w="0" w:type="dxa"/>
            <w:bottom w:w="0" w:type="dxa"/>
            <w:right w:w="0" w:type="dxa"/>
          </w:tblCellMar>
        </w:tblPrEx>
        <w:trPr>
          <w:trHeight w:val="198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26</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ZA１２HAX０８６２</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ZA１２HAX０８６７</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ZA１２HAX０８６３</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ZA１２HAX０８６１</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ZA１２HAX０８６８</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ZA１２HAX０８６５</w:t>
            </w:r>
          </w:p>
        </w:tc>
        <w:tc>
          <w:tcPr>
            <w:tcW w:w="426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血塞通片</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(颗粒、胶囊、软胶囊、滴丸、分散片)</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27</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ZA１２HAZ０４１２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注射用血栓通 (冻干)</w:t>
            </w:r>
          </w:p>
        </w:tc>
      </w:tr>
      <w:tr>
        <w:tblPrEx>
          <w:tblCellMar>
            <w:top w:w="0" w:type="dxa"/>
            <w:left w:w="0" w:type="dxa"/>
            <w:bottom w:w="0" w:type="dxa"/>
            <w:right w:w="0" w:type="dxa"/>
          </w:tblCellMar>
        </w:tblPrEx>
        <w:trPr>
          <w:trHeight w:val="66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28</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ZA０６CAF００３０</w:t>
            </w:r>
            <w:r>
              <w:rPr>
                <w:rFonts w:hint="default" w:ascii="Times New Roman" w:hAnsi="Times New Roman" w:eastAsia="方正仿宋_GBK" w:cs="Times New Roman"/>
                <w:color w:val="000000"/>
                <w:kern w:val="0"/>
                <w:sz w:val="24"/>
                <w:lang w:bidi="ar"/>
              </w:rPr>
              <w:br w:type="textWrapping"/>
            </w:r>
            <w:r>
              <w:rPr>
                <w:rFonts w:hint="default" w:ascii="Times New Roman" w:hAnsi="Times New Roman" w:eastAsia="方正仿宋_GBK" w:cs="Times New Roman"/>
                <w:color w:val="000000"/>
                <w:kern w:val="0"/>
                <w:sz w:val="24"/>
                <w:lang w:bidi="ar"/>
              </w:rPr>
              <w:t>ZA０６CAF００３１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肺力咳胶囊 (合剂)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29</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ZA１２DAQ００８２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芪苈强心胶囊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30</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ZA１２BAS０９８６</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速效救心丸</w:t>
            </w:r>
          </w:p>
        </w:tc>
      </w:tr>
      <w:tr>
        <w:tblPrEx>
          <w:tblCellMar>
            <w:top w:w="0" w:type="dxa"/>
            <w:left w:w="0" w:type="dxa"/>
            <w:bottom w:w="0" w:type="dxa"/>
            <w:right w:w="0" w:type="dxa"/>
          </w:tblCellMar>
        </w:tblPrEx>
        <w:trPr>
          <w:trHeight w:val="330" w:hRule="atLeast"/>
          <w:jc w:val="center"/>
        </w:trPr>
        <w:tc>
          <w:tcPr>
            <w:tcW w:w="4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30" w:hRule="atLeast"/>
          <w:jc w:val="center"/>
        </w:trPr>
        <w:tc>
          <w:tcPr>
            <w:tcW w:w="46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kern w:val="0"/>
                <w:sz w:val="24"/>
                <w:lang w:bidi="ar"/>
              </w:rPr>
              <w:t>中药饮片</w:t>
            </w: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序号</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医保药品代码</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药品名称</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T００１４００１０５</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炒酸枣仁</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T００１７００３６８</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黄芪</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T００１５００６３９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全蝎</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4</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T００１７００１７４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党参片</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5</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T００１７００１７３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当归</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6</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T００１１００６５９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三七粉</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7</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T００１７００８０５</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北柴胡</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8</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T０００１０００４３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茯苓</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9</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T０００６００２６６</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金银花</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10</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T０００２００４３３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川贝母</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11</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T００１３００１２３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天麻</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12</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T００１５００７３６</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防风</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13</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T０００１００２３９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砂仁</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14</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T０００５００６７２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枸杞子</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15</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T００１７００２９４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人参片</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16</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T００１７００６４３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太子参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17</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T００１７００７２４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麦冬</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18</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T００１７００５３５</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红花</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19</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T００１２００３４９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地龙</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20</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T００１５００１９８</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酸枣仁</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21</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T００１４００７１９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丹参</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22</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T００１２００１７７</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蝉蜕</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23</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T０００１０００７３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白术</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24</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T００１７０００３１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川芎</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25</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T００１２００１３２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法半夏</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26</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T００１３００２３７</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蜈蚣</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27</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T００１５００７６０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羌活</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28</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T０００１００６１４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阿胶珠</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29</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T００１７００２３４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红芪</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30</w:t>
            </w: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T００１８００３５２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姜半夏</w:t>
            </w:r>
          </w:p>
        </w:tc>
      </w:tr>
      <w:tr>
        <w:tblPrEx>
          <w:tblCellMar>
            <w:top w:w="0" w:type="dxa"/>
            <w:left w:w="0" w:type="dxa"/>
            <w:bottom w:w="0" w:type="dxa"/>
            <w:right w:w="0" w:type="dxa"/>
          </w:tblCellMar>
        </w:tblPrEx>
        <w:trPr>
          <w:trHeight w:val="330" w:hRule="atLeast"/>
          <w:jc w:val="center"/>
        </w:trPr>
        <w:tc>
          <w:tcPr>
            <w:tcW w:w="466" w:type="dxa"/>
            <w:tcBorders>
              <w:top w:val="single" w:color="auto" w:sz="4" w:space="0"/>
              <w:left w:val="nil"/>
              <w:bottom w:val="nil"/>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auto" w:sz="4" w:space="0"/>
              <w:left w:val="nil"/>
              <w:bottom w:val="nil"/>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3551" w:type="dxa"/>
            <w:tcBorders>
              <w:top w:val="single" w:color="auto" w:sz="4" w:space="0"/>
              <w:left w:val="nil"/>
              <w:bottom w:val="nil"/>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2352" w:type="dxa"/>
            <w:tcBorders>
              <w:top w:val="single" w:color="auto" w:sz="4" w:space="0"/>
              <w:left w:val="nil"/>
              <w:bottom w:val="nil"/>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c>
          <w:tcPr>
            <w:tcW w:w="1909" w:type="dxa"/>
            <w:tcBorders>
              <w:top w:val="single" w:color="auto" w:sz="4" w:space="0"/>
              <w:left w:val="nil"/>
              <w:bottom w:val="nil"/>
              <w:right w:val="nil"/>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30" w:hRule="atLeast"/>
          <w:jc w:val="center"/>
        </w:trPr>
        <w:tc>
          <w:tcPr>
            <w:tcW w:w="4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kern w:val="0"/>
                <w:sz w:val="24"/>
                <w:lang w:bidi="ar"/>
              </w:rPr>
              <w:t>耗材</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序号</w:t>
            </w:r>
          </w:p>
        </w:tc>
        <w:tc>
          <w:tcPr>
            <w:tcW w:w="3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医保医用耗材代码</w:t>
            </w:r>
          </w:p>
        </w:tc>
        <w:tc>
          <w:tcPr>
            <w:tcW w:w="4261"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黑体_GBK" w:cs="Times New Roman"/>
                <w:bCs/>
                <w:color w:val="000000"/>
                <w:kern w:val="0"/>
                <w:sz w:val="24"/>
                <w:lang w:bidi="ar"/>
              </w:rPr>
            </w:pPr>
            <w:r>
              <w:rPr>
                <w:rFonts w:hint="default" w:ascii="Times New Roman" w:hAnsi="Times New Roman" w:eastAsia="方正黑体_GBK" w:cs="Times New Roman"/>
                <w:bCs/>
                <w:color w:val="000000"/>
                <w:kern w:val="0"/>
                <w:sz w:val="24"/>
                <w:lang w:bidi="ar"/>
              </w:rPr>
              <w:t>三级分类 (部位、功能、品种)</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C１００７０１１６９０３０００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血液灌流 (吸附)器及套装</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C０２０１１３００４００００４</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磁定位治疗导管</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C１００４０１１６７０００００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血液透析滤过器</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4</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C１４０３０２００５０２００３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大血管 (≤７mm)封闭刀头</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5</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C０２０５１６０６５０２００１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弹簧圈</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6</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C０２０２２１００３０００００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冠脉导引导丝</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7</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C０２０２０７００２０００００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切割球囊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8</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C１４０８０３１８５００００９</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可吸收性特殊理化缝线</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9</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C０２０２１０００４０００００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冠脉导引导管</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10</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C１４０８０８０２２００００１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止血夹</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11</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C１１０１０５１７３０２００３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电动腔镜切割吻/缝合器钉仓 (钉匣)</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12</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C０２０２１５００４００００２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冠脉血管内超声诊断导管</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13</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C１１０１０３１７３０２００２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腔镜切割吻/缝合器钉仓 (钉匣)</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14</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C０２０２０６００２００００１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冠脉药物涂层球囊</w:t>
            </w:r>
          </w:p>
        </w:tc>
      </w:tr>
      <w:tr>
        <w:tblPrEx>
          <w:tblCellMar>
            <w:top w:w="0" w:type="dxa"/>
            <w:left w:w="0" w:type="dxa"/>
            <w:bottom w:w="0" w:type="dxa"/>
            <w:right w:w="0" w:type="dxa"/>
          </w:tblCellMar>
        </w:tblPrEx>
        <w:trPr>
          <w:trHeight w:val="9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15</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C０３４７０５１１１０００００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骨水泥</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16</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C１００８０１１７０００００１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血液透析器</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17</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C０２０１０９００４０００１３</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磁定位诊断导管</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18</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C０２０２０６００２００００１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冠脉药物涂层球囊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19</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C０２０５０１００１００００６</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颅内支架</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20</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C１４０４０１００５０００００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等离子刀头</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21</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C０１０４０１０２６００００２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乳腺活检装置</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22</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C１００５０１１６７０００００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连续性血液滤过器及套装</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23</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C１４２３１３０３９００００１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预充式导管冲洗器</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24</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C０２０５０１００１００００５</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颅内支架</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25</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C０２０７０６００３０００００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造影导丝</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26</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C１１０１０８１７６００００２</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单发结扎夹</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27</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C０２０２０６００２００００１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冠脉药物涂层球囊</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28</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C０２０７１００１５０００００</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血管鞘</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29</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C０２０４０２０５８００００１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双腔起搏器</w:t>
            </w:r>
          </w:p>
        </w:tc>
      </w:tr>
      <w:tr>
        <w:tblPrEx>
          <w:tblCellMar>
            <w:top w:w="0" w:type="dxa"/>
            <w:left w:w="0" w:type="dxa"/>
            <w:bottom w:w="0" w:type="dxa"/>
            <w:right w:w="0" w:type="dxa"/>
          </w:tblCellMar>
        </w:tblPrEx>
        <w:trPr>
          <w:trHeight w:val="330"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b/>
                <w:color w:val="000000"/>
                <w:sz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30</w:t>
            </w:r>
          </w:p>
        </w:tc>
        <w:tc>
          <w:tcPr>
            <w:tcW w:w="355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C０４０３０１１１８０１００１</w:t>
            </w:r>
          </w:p>
        </w:tc>
        <w:tc>
          <w:tcPr>
            <w:tcW w:w="426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硬脑 (脊)膜补片</w:t>
            </w:r>
          </w:p>
        </w:tc>
      </w:tr>
    </w:tbl>
    <w:p>
      <w:pPr>
        <w:pStyle w:val="2"/>
        <w:rPr>
          <w:rFonts w:hint="default" w:eastAsiaTheme="minorEastAsia"/>
          <w:lang w:val="en-US" w:eastAsia="zh-CN"/>
        </w:rPr>
      </w:pPr>
    </w:p>
    <w:p>
      <w:p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widowControl/>
        <w:spacing w:line="600" w:lineRule="exact"/>
        <w:jc w:val="left"/>
        <w:rPr>
          <w:rFonts w:ascii="Times New Roman" w:hAnsi="Times New Roman" w:eastAsia="方正仿宋_GBK"/>
          <w:b/>
          <w:bCs/>
          <w:sz w:val="28"/>
          <w:szCs w:val="28"/>
        </w:rPr>
      </w:pPr>
      <w:r>
        <w:rPr>
          <w:rFonts w:ascii="Times New Roman" w:hAnsi="Times New Roman" w:eastAsia="方正黑体_GBK"/>
          <w:color w:val="000000"/>
          <w:kern w:val="0"/>
          <w:sz w:val="32"/>
          <w:szCs w:val="32"/>
          <w:lang w:bidi="ar"/>
        </w:rPr>
        <w:t>附件2</w:t>
      </w:r>
    </w:p>
    <w:p>
      <w:pPr>
        <w:widowControl/>
        <w:spacing w:line="600" w:lineRule="exact"/>
        <w:jc w:val="center"/>
        <w:rPr>
          <w:rFonts w:ascii="Times New Roman" w:hAnsi="Times New Roman" w:eastAsia="方正仿宋_GBK"/>
          <w:b/>
          <w:bCs/>
          <w:sz w:val="32"/>
          <w:szCs w:val="32"/>
        </w:rPr>
      </w:pPr>
      <w:r>
        <w:rPr>
          <w:rFonts w:ascii="Times New Roman" w:hAnsi="Times New Roman" w:eastAsia="方正小标宋_GBK"/>
          <w:color w:val="000000"/>
          <w:kern w:val="0"/>
          <w:sz w:val="44"/>
          <w:szCs w:val="44"/>
          <w:lang w:bidi="ar"/>
        </w:rPr>
        <w:t>重点违法违规行为</w:t>
      </w:r>
    </w:p>
    <w:p>
      <w:pPr>
        <w:widowControl/>
        <w:spacing w:line="600" w:lineRule="exact"/>
        <w:ind w:firstLine="640" w:firstLineChars="200"/>
        <w:jc w:val="left"/>
        <w:rPr>
          <w:rFonts w:ascii="Times New Roman" w:hAnsi="Times New Roman" w:eastAsia="方正黑体_GBK"/>
          <w:color w:val="000000"/>
          <w:kern w:val="0"/>
          <w:sz w:val="32"/>
          <w:szCs w:val="32"/>
          <w:lang w:bidi="ar"/>
        </w:rPr>
      </w:pPr>
    </w:p>
    <w:p>
      <w:pPr>
        <w:widowControl/>
        <w:spacing w:line="600" w:lineRule="exact"/>
        <w:ind w:firstLine="640" w:firstLineChars="200"/>
        <w:rPr>
          <w:rFonts w:ascii="Times New Roman" w:hAnsi="Times New Roman" w:eastAsia="方正黑体_GBK"/>
          <w:sz w:val="32"/>
          <w:szCs w:val="32"/>
        </w:rPr>
      </w:pPr>
      <w:r>
        <w:rPr>
          <w:rFonts w:ascii="Times New Roman" w:hAnsi="Times New Roman" w:eastAsia="方正黑体_GBK"/>
          <w:color w:val="000000"/>
          <w:kern w:val="0"/>
          <w:sz w:val="32"/>
          <w:szCs w:val="32"/>
          <w:lang w:bidi="ar"/>
        </w:rPr>
        <w:t>一、定点医疗机构</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1．诱导、协助他人冒名或者虚假就医、购药等套取医保资金；</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2．伪造、变造、隐匿、涂改、销毁医学文书、医学证明、会计凭证、电子信息等有关资料；</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3．虚构医药服务项目；</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4．分解住院、挂床住院；</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5．不执行实名就医和购药管理规定，不核验参保人员医疗</w:t>
      </w:r>
    </w:p>
    <w:p>
      <w:pPr>
        <w:widowControl/>
        <w:spacing w:line="600" w:lineRule="exact"/>
        <w:rPr>
          <w:rFonts w:ascii="Times New Roman" w:hAnsi="Times New Roman" w:eastAsia="方正仿宋_GBK"/>
          <w:sz w:val="32"/>
          <w:szCs w:val="32"/>
        </w:rPr>
      </w:pPr>
      <w:r>
        <w:rPr>
          <w:rFonts w:ascii="Times New Roman" w:hAnsi="Times New Roman" w:eastAsia="方正仿宋_GBK"/>
          <w:color w:val="000000"/>
          <w:kern w:val="0"/>
          <w:sz w:val="32"/>
          <w:szCs w:val="32"/>
          <w:lang w:bidi="ar"/>
        </w:rPr>
        <w:t>保障凭证；</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6．重复收费、超标准收费、分解项目收费；</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7．串换药品、医用耗材、诊疗项目和服务设施；</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8．将不属于医疗保障基金支付范围的医药费用纳入医疗保障基金结算；</w:t>
      </w:r>
    </w:p>
    <w:p>
      <w:pPr>
        <w:widowControl/>
        <w:spacing w:line="60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9．其他骗取医保基金支出的行为。</w:t>
      </w:r>
    </w:p>
    <w:p>
      <w:pPr>
        <w:widowControl/>
        <w:spacing w:line="600" w:lineRule="exact"/>
        <w:ind w:firstLine="640" w:firstLineChars="200"/>
        <w:rPr>
          <w:rFonts w:ascii="Times New Roman" w:hAnsi="Times New Roman" w:eastAsia="方正黑体_GBK"/>
          <w:color w:val="000000"/>
          <w:kern w:val="0"/>
          <w:sz w:val="32"/>
          <w:szCs w:val="32"/>
          <w:lang w:bidi="ar"/>
        </w:rPr>
      </w:pPr>
      <w:r>
        <w:rPr>
          <w:rFonts w:ascii="Times New Roman" w:hAnsi="Times New Roman" w:eastAsia="方正黑体_GBK"/>
          <w:color w:val="000000"/>
          <w:kern w:val="0"/>
          <w:sz w:val="32"/>
          <w:szCs w:val="32"/>
          <w:lang w:bidi="ar"/>
        </w:rPr>
        <w:t>二、定点药店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1．串换药品，将不属于医保基金支付的药品、医用耗材、医疗器械等，或以日用品、保健品以及其它商品串换为医保基金可支付的药品、医用耗材、医疗器械进行销售，并纳入医保基金结算；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2．伪造、变造处方或无处方向参保人销售须凭处方购买的药品、医用耗材、医疗器械等，并纳入医保基金结算；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3．超医保限定支付条件和范围向参保人销售药品、医用耗材、医疗器械等，并纳入医保基金结算；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4．不严格执行实名购药管理规定，不核验参保人医疗保障凭证，或明知购买人所持系冒用、盗用他人的，或伪造、变造的医保凭证（社保卡），仍向其销售药品、医用耗材、医疗器械等，并纳入医保基金结算；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5．与购买人串通勾结，利用参保人医疗保障凭证（社保卡）采取空刷，或以现金退付，或通过银行卡、微信、支付宝等支付手段进行兑换支付，骗取医保基金结算；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6．为非定点零售药店、中止医保协议期间的定点零售药店进行医保费用结算；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7．其他骗取医保基金支出的行为。</w:t>
      </w:r>
    </w:p>
    <w:p>
      <w:pPr>
        <w:spacing w:line="600" w:lineRule="exact"/>
        <w:ind w:firstLine="640" w:firstLineChars="200"/>
        <w:rPr>
          <w:rFonts w:ascii="Times New Roman" w:hAnsi="Times New Roman" w:eastAsia="方正黑体_GBK"/>
          <w:color w:val="000000"/>
          <w:kern w:val="0"/>
          <w:sz w:val="32"/>
          <w:szCs w:val="32"/>
          <w:lang w:bidi="ar"/>
        </w:rPr>
      </w:pPr>
      <w:r>
        <w:rPr>
          <w:rFonts w:ascii="Times New Roman" w:hAnsi="Times New Roman" w:eastAsia="方正黑体_GBK"/>
          <w:color w:val="000000"/>
          <w:kern w:val="0"/>
          <w:sz w:val="32"/>
          <w:szCs w:val="32"/>
          <w:lang w:bidi="ar"/>
        </w:rPr>
        <w:t>三、参保人员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1．伪造、变造、隐匿、涂改、销毁医学文书、医学证明、会计凭证、电子信息等有关资料骗取医保基金支出；</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2．将本人的医疗保障凭证交由他人冒名使用；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3．利用享受医疗保障待遇的机会转卖药品，接受返还现金、实物或者获得其他非法利益；</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4．其他骗取医保基金支出的行为。</w:t>
      </w:r>
    </w:p>
    <w:p>
      <w:pPr>
        <w:widowControl/>
        <w:spacing w:line="600" w:lineRule="exact"/>
        <w:ind w:firstLine="640" w:firstLineChars="200"/>
        <w:rPr>
          <w:rFonts w:ascii="Times New Roman" w:hAnsi="Times New Roman" w:eastAsia="方正黑体_GBK"/>
          <w:color w:val="000000"/>
          <w:kern w:val="0"/>
          <w:sz w:val="32"/>
          <w:szCs w:val="32"/>
          <w:lang w:bidi="ar"/>
        </w:rPr>
      </w:pPr>
      <w:r>
        <w:rPr>
          <w:rFonts w:ascii="Times New Roman" w:hAnsi="Times New Roman" w:eastAsia="方正黑体_GBK"/>
          <w:color w:val="000000"/>
          <w:kern w:val="0"/>
          <w:sz w:val="32"/>
          <w:szCs w:val="32"/>
          <w:lang w:bidi="ar"/>
        </w:rPr>
        <w:t>四、职业骗保团伙</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1．违反医保政策，帮助非参保人员虚构劳动关系等享受医疗保障待遇条件，或提供虚假证明材料如鉴定意见等骗取医保资格；</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2．非法收取参保人员医保卡或医疗保险证件到定点医疗服务机构刷卡结付相关费用或套现；</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3．协助医院组织参保人员到医院办理虚假住院、挂床住院；</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4．其他骗取医疗保障基金支出的行为。</w:t>
      </w:r>
    </w:p>
    <w:p>
      <w:pPr>
        <w:widowControl/>
        <w:spacing w:line="600" w:lineRule="exact"/>
        <w:ind w:firstLine="640" w:firstLineChars="200"/>
        <w:rPr>
          <w:rFonts w:ascii="Times New Roman" w:hAnsi="Times New Roman" w:eastAsia="方正黑体_GBK"/>
          <w:color w:val="000000"/>
          <w:kern w:val="0"/>
          <w:sz w:val="32"/>
          <w:szCs w:val="32"/>
          <w:lang w:bidi="ar"/>
        </w:rPr>
      </w:pPr>
      <w:r>
        <w:rPr>
          <w:rFonts w:ascii="Times New Roman" w:hAnsi="Times New Roman" w:eastAsia="方正黑体_GBK"/>
          <w:color w:val="000000"/>
          <w:kern w:val="0"/>
          <w:sz w:val="32"/>
          <w:szCs w:val="32"/>
          <w:lang w:bidi="ar"/>
        </w:rPr>
        <w:t>五、异地就医过程中容易发生的违法违规行为</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1．定点医疗机构对异地就医患者过度检查、过度诊疗；</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2．定点医疗机构利用异地就医患者参保凭证通过虚构病历等行为骗取医保基金；</w:t>
      </w:r>
    </w:p>
    <w:p>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3．定点医疗机构以返利、返现等形式诱导异地就医患者住院套取医保基金；</w:t>
      </w:r>
    </w:p>
    <w:p>
      <w:pPr>
        <w:widowControl/>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color w:val="000000"/>
          <w:kern w:val="0"/>
          <w:sz w:val="32"/>
          <w:szCs w:val="32"/>
          <w:lang w:bidi="ar"/>
        </w:rPr>
        <w:t>4．定点零售药店利用异地参保人员医保电子凭证套刷药品倒卖谋利、串换药品等行为。</w:t>
      </w:r>
    </w:p>
    <w:p>
      <w:pPr>
        <w:spacing w:line="600" w:lineRule="exact"/>
        <w:rPr>
          <w:rFonts w:hint="eastAsia" w:ascii="方正黑体_GBK" w:hAnsi="方正黑体_GBK" w:eastAsia="方正黑体_GBK" w:cs="方正黑体_GBK"/>
          <w:sz w:val="32"/>
          <w:szCs w:val="32"/>
        </w:rPr>
      </w:pPr>
    </w:p>
    <w:p>
      <w:pPr>
        <w:spacing w:line="600" w:lineRule="exact"/>
        <w:rPr>
          <w:rFonts w:ascii="Times New Roman" w:hAnsi="Times New Roman"/>
        </w:rPr>
      </w:pPr>
    </w:p>
    <w:p>
      <w:pPr>
        <w:pStyle w:val="2"/>
        <w:sectPr>
          <w:pgSz w:w="11906" w:h="16838"/>
          <w:pgMar w:top="1814" w:right="1758" w:bottom="1701" w:left="1758" w:header="851" w:footer="992" w:gutter="0"/>
          <w:pgNumType w:fmt="numberInDash"/>
          <w:cols w:space="0" w:num="1"/>
          <w:docGrid w:type="lines" w:linePitch="312" w:charSpace="0"/>
        </w:sectPr>
      </w:pPr>
    </w:p>
    <w:tbl>
      <w:tblPr>
        <w:tblStyle w:val="16"/>
        <w:tblpPr w:leftFromText="180" w:rightFromText="180" w:vertAnchor="text" w:horzAnchor="page" w:tblpX="1583" w:tblpY="12488"/>
        <w:tblOverlap w:val="never"/>
        <w:tblW w:w="890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0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7" w:hRule="atLeast"/>
        </w:trPr>
        <w:tc>
          <w:tcPr>
            <w:tcW w:w="8905" w:type="dxa"/>
            <w:vAlign w:val="center"/>
          </w:tcPr>
          <w:p>
            <w:pPr>
              <w:spacing w:line="600" w:lineRule="exac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重庆市南川区</w:t>
            </w:r>
            <w:r>
              <w:rPr>
                <w:rFonts w:hint="eastAsia" w:ascii="Times New Roman" w:hAnsi="Times New Roman" w:eastAsia="方正仿宋_GBK" w:cs="Times New Roman"/>
                <w:sz w:val="32"/>
                <w:szCs w:val="32"/>
              </w:rPr>
              <w:t>医疗保障局办公室</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日印</w:t>
            </w:r>
            <w:r>
              <w:rPr>
                <w:rFonts w:hint="eastAsia" w:ascii="Times New Roman" w:hAnsi="Times New Roman" w:eastAsia="方正仿宋_GBK" w:cs="Times New Roman"/>
                <w:sz w:val="32"/>
                <w:szCs w:val="32"/>
              </w:rPr>
              <w:t>发</w:t>
            </w:r>
          </w:p>
        </w:tc>
      </w:tr>
    </w:tbl>
    <w:p>
      <w:pPr>
        <w:spacing w:line="600" w:lineRule="exact"/>
        <w:ind w:firstLine="421" w:firstLineChars="200"/>
        <w:rPr>
          <w:b/>
        </w:rPr>
      </w:pPr>
    </w:p>
    <w:sectPr>
      <w:pgSz w:w="11906" w:h="16838"/>
      <w:pgMar w:top="1814" w:right="1758" w:bottom="1701" w:left="175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214246"/>
      <w:docPartObj>
        <w:docPartGallery w:val="autotext"/>
      </w:docPartObj>
    </w:sdtPr>
    <w:sdtEndPr>
      <w:rPr>
        <w:rFonts w:ascii="宋体" w:hAnsi="宋体" w:eastAsia="宋体"/>
        <w:sz w:val="28"/>
        <w:szCs w:val="28"/>
      </w:rPr>
    </w:sdtEndPr>
    <w:sdtContent>
      <w:p>
        <w:pPr>
          <w:pStyle w:val="1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85791"/>
      <w:docPartObj>
        <w:docPartGallery w:val="autotext"/>
      </w:docPartObj>
    </w:sdtPr>
    <w:sdtEndPr>
      <w:rPr>
        <w:rFonts w:ascii="宋体" w:hAnsi="宋体" w:eastAsia="宋体"/>
        <w:sz w:val="28"/>
        <w:szCs w:val="28"/>
      </w:rPr>
    </w:sdtEndPr>
    <w:sdtContent>
      <w:p>
        <w:pPr>
          <w:pStyle w:val="1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D74F3"/>
    <w:multiLevelType w:val="singleLevel"/>
    <w:tmpl w:val="AB2D74F3"/>
    <w:lvl w:ilvl="0" w:tentative="0">
      <w:start w:val="2"/>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documentProtection w:edit="readOnly"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zIwODA4YzY0NWQ2NGM2Nzg4MDRmZTNmZGYyMDAifQ=="/>
  </w:docVars>
  <w:rsids>
    <w:rsidRoot w:val="00214545"/>
    <w:rsid w:val="000260EF"/>
    <w:rsid w:val="00040AB4"/>
    <w:rsid w:val="00046B70"/>
    <w:rsid w:val="000475C5"/>
    <w:rsid w:val="00053A91"/>
    <w:rsid w:val="00055B9B"/>
    <w:rsid w:val="000A3A3F"/>
    <w:rsid w:val="000A5F7D"/>
    <w:rsid w:val="000B1098"/>
    <w:rsid w:val="000B59E2"/>
    <w:rsid w:val="000E31F6"/>
    <w:rsid w:val="001628EC"/>
    <w:rsid w:val="0019698E"/>
    <w:rsid w:val="001B2689"/>
    <w:rsid w:val="001E268E"/>
    <w:rsid w:val="001E528B"/>
    <w:rsid w:val="001F79BB"/>
    <w:rsid w:val="00214545"/>
    <w:rsid w:val="00254FCC"/>
    <w:rsid w:val="002613E7"/>
    <w:rsid w:val="002B0ABB"/>
    <w:rsid w:val="002B27FC"/>
    <w:rsid w:val="002B40E0"/>
    <w:rsid w:val="002B4169"/>
    <w:rsid w:val="002F6709"/>
    <w:rsid w:val="00315BD9"/>
    <w:rsid w:val="0032010E"/>
    <w:rsid w:val="00332620"/>
    <w:rsid w:val="00336C54"/>
    <w:rsid w:val="00341981"/>
    <w:rsid w:val="00341C17"/>
    <w:rsid w:val="00355C2E"/>
    <w:rsid w:val="00367F29"/>
    <w:rsid w:val="003704E2"/>
    <w:rsid w:val="00393466"/>
    <w:rsid w:val="00395DD5"/>
    <w:rsid w:val="003B1940"/>
    <w:rsid w:val="003D1A89"/>
    <w:rsid w:val="003F40C2"/>
    <w:rsid w:val="003F7389"/>
    <w:rsid w:val="00437A55"/>
    <w:rsid w:val="0045301D"/>
    <w:rsid w:val="00496FAF"/>
    <w:rsid w:val="004A0F8A"/>
    <w:rsid w:val="004A2DA3"/>
    <w:rsid w:val="004A75CA"/>
    <w:rsid w:val="004B0BDE"/>
    <w:rsid w:val="004F33C1"/>
    <w:rsid w:val="004F3E03"/>
    <w:rsid w:val="00514DA1"/>
    <w:rsid w:val="00523F79"/>
    <w:rsid w:val="00572CD6"/>
    <w:rsid w:val="00583BD8"/>
    <w:rsid w:val="00593A55"/>
    <w:rsid w:val="005A2848"/>
    <w:rsid w:val="005A6B6C"/>
    <w:rsid w:val="005D10A1"/>
    <w:rsid w:val="005D16A0"/>
    <w:rsid w:val="00634420"/>
    <w:rsid w:val="00641D19"/>
    <w:rsid w:val="006421B4"/>
    <w:rsid w:val="006431E9"/>
    <w:rsid w:val="0065358E"/>
    <w:rsid w:val="00662A90"/>
    <w:rsid w:val="00675C7F"/>
    <w:rsid w:val="00695BF2"/>
    <w:rsid w:val="006C214D"/>
    <w:rsid w:val="006F29D0"/>
    <w:rsid w:val="00706676"/>
    <w:rsid w:val="007101D1"/>
    <w:rsid w:val="007547EF"/>
    <w:rsid w:val="00755CDC"/>
    <w:rsid w:val="00784697"/>
    <w:rsid w:val="007B4317"/>
    <w:rsid w:val="007C094E"/>
    <w:rsid w:val="007F1E1E"/>
    <w:rsid w:val="007F59CC"/>
    <w:rsid w:val="0082560A"/>
    <w:rsid w:val="008412A1"/>
    <w:rsid w:val="008471FA"/>
    <w:rsid w:val="00883E79"/>
    <w:rsid w:val="008A0C1C"/>
    <w:rsid w:val="008C24BC"/>
    <w:rsid w:val="008E7196"/>
    <w:rsid w:val="008F1D13"/>
    <w:rsid w:val="008F265B"/>
    <w:rsid w:val="009674FB"/>
    <w:rsid w:val="00967C57"/>
    <w:rsid w:val="00984A6A"/>
    <w:rsid w:val="009D314B"/>
    <w:rsid w:val="009E020B"/>
    <w:rsid w:val="00A04070"/>
    <w:rsid w:val="00A10A3C"/>
    <w:rsid w:val="00A20555"/>
    <w:rsid w:val="00A2431D"/>
    <w:rsid w:val="00A64473"/>
    <w:rsid w:val="00A71100"/>
    <w:rsid w:val="00AD6FD0"/>
    <w:rsid w:val="00AE070B"/>
    <w:rsid w:val="00B06B95"/>
    <w:rsid w:val="00B13D34"/>
    <w:rsid w:val="00B15B16"/>
    <w:rsid w:val="00B263D4"/>
    <w:rsid w:val="00B448B3"/>
    <w:rsid w:val="00B6418C"/>
    <w:rsid w:val="00B73AE0"/>
    <w:rsid w:val="00B770C4"/>
    <w:rsid w:val="00B82274"/>
    <w:rsid w:val="00BA1CF1"/>
    <w:rsid w:val="00BD48DB"/>
    <w:rsid w:val="00BD559A"/>
    <w:rsid w:val="00C1755E"/>
    <w:rsid w:val="00C254D8"/>
    <w:rsid w:val="00C3690A"/>
    <w:rsid w:val="00CB3633"/>
    <w:rsid w:val="00CB5239"/>
    <w:rsid w:val="00CC3FC0"/>
    <w:rsid w:val="00D33E12"/>
    <w:rsid w:val="00D46967"/>
    <w:rsid w:val="00D62AD4"/>
    <w:rsid w:val="00D753EA"/>
    <w:rsid w:val="00D932C7"/>
    <w:rsid w:val="00DA1034"/>
    <w:rsid w:val="00DE1D6C"/>
    <w:rsid w:val="00E0550F"/>
    <w:rsid w:val="00E079D7"/>
    <w:rsid w:val="00E53965"/>
    <w:rsid w:val="00E84E14"/>
    <w:rsid w:val="00E86E86"/>
    <w:rsid w:val="00E97569"/>
    <w:rsid w:val="00EA06CA"/>
    <w:rsid w:val="00EA79FD"/>
    <w:rsid w:val="00EB301E"/>
    <w:rsid w:val="00F414EB"/>
    <w:rsid w:val="00F4340C"/>
    <w:rsid w:val="00F558D6"/>
    <w:rsid w:val="00F64879"/>
    <w:rsid w:val="00F928E2"/>
    <w:rsid w:val="07FB6F8A"/>
    <w:rsid w:val="0AC66DB2"/>
    <w:rsid w:val="0BB55B0D"/>
    <w:rsid w:val="10F86AA0"/>
    <w:rsid w:val="11766B2E"/>
    <w:rsid w:val="11911CD2"/>
    <w:rsid w:val="11C77CCB"/>
    <w:rsid w:val="12E110C3"/>
    <w:rsid w:val="13FF6F7D"/>
    <w:rsid w:val="156C76A6"/>
    <w:rsid w:val="17582879"/>
    <w:rsid w:val="1A303941"/>
    <w:rsid w:val="1B2570B4"/>
    <w:rsid w:val="1BEC2FB3"/>
    <w:rsid w:val="1D2D69AC"/>
    <w:rsid w:val="1FE0288F"/>
    <w:rsid w:val="26A773B1"/>
    <w:rsid w:val="279E3A83"/>
    <w:rsid w:val="27EB6814"/>
    <w:rsid w:val="2B2A7653"/>
    <w:rsid w:val="2DDE4FCF"/>
    <w:rsid w:val="2E9F3EB4"/>
    <w:rsid w:val="2EB72FAC"/>
    <w:rsid w:val="31FA35E8"/>
    <w:rsid w:val="33857B1D"/>
    <w:rsid w:val="33E46CB6"/>
    <w:rsid w:val="369A669F"/>
    <w:rsid w:val="372108A8"/>
    <w:rsid w:val="3B080DCC"/>
    <w:rsid w:val="3E5527E2"/>
    <w:rsid w:val="400C7AD2"/>
    <w:rsid w:val="40927BE3"/>
    <w:rsid w:val="413F78DB"/>
    <w:rsid w:val="46B02CAB"/>
    <w:rsid w:val="4AD82ABE"/>
    <w:rsid w:val="4E325127"/>
    <w:rsid w:val="4E640A89"/>
    <w:rsid w:val="50027005"/>
    <w:rsid w:val="52897533"/>
    <w:rsid w:val="5ACA3526"/>
    <w:rsid w:val="5D571787"/>
    <w:rsid w:val="5D956992"/>
    <w:rsid w:val="5F1E295A"/>
    <w:rsid w:val="614371A1"/>
    <w:rsid w:val="63CD5F0A"/>
    <w:rsid w:val="64C5396E"/>
    <w:rsid w:val="64D15E6F"/>
    <w:rsid w:val="65F677C5"/>
    <w:rsid w:val="66FD6037"/>
    <w:rsid w:val="6F831A13"/>
    <w:rsid w:val="6FBD4338"/>
    <w:rsid w:val="70C413EF"/>
    <w:rsid w:val="70F367F0"/>
    <w:rsid w:val="716567ED"/>
    <w:rsid w:val="76C43A85"/>
    <w:rsid w:val="78AF2513"/>
    <w:rsid w:val="7A967CBD"/>
    <w:rsid w:val="7C266F0C"/>
    <w:rsid w:val="7F3FE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3"/>
    <w:next w:val="1"/>
    <w:link w:val="61"/>
    <w:qFormat/>
    <w:uiPriority w:val="0"/>
    <w:pPr>
      <w:spacing w:before="280" w:after="290" w:line="372" w:lineRule="auto"/>
      <w:outlineLvl w:val="3"/>
    </w:pPr>
    <w:rPr>
      <w:rFonts w:ascii="Arial" w:hAnsi="Arial" w:eastAsia="黑体" w:cs="Times New Roman"/>
      <w:bCs w:val="0"/>
      <w:sz w:val="28"/>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link w:val="26"/>
    <w:qFormat/>
    <w:uiPriority w:val="0"/>
    <w:pPr>
      <w:ind w:left="100" w:leftChars="100" w:right="100" w:rightChars="100"/>
    </w:pPr>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styleId="9">
    <w:name w:val="Body Text Indent"/>
    <w:basedOn w:val="1"/>
    <w:link w:val="63"/>
    <w:semiHidden/>
    <w:unhideWhenUsed/>
    <w:qFormat/>
    <w:uiPriority w:val="99"/>
    <w:pPr>
      <w:spacing w:after="120"/>
      <w:ind w:left="420" w:leftChars="200"/>
    </w:pPr>
  </w:style>
  <w:style w:type="paragraph" w:styleId="10">
    <w:name w:val="Plain Text"/>
    <w:basedOn w:val="1"/>
    <w:unhideWhenUsed/>
    <w:qFormat/>
    <w:uiPriority w:val="99"/>
    <w:pPr>
      <w:ind w:firstLine="648" w:firstLineChars="200"/>
    </w:pPr>
    <w:rPr>
      <w:rFonts w:ascii="方正黑体_GBK" w:hAnsi="Courier New"/>
    </w:rPr>
  </w:style>
  <w:style w:type="paragraph" w:styleId="11">
    <w:name w:val="Date"/>
    <w:basedOn w:val="1"/>
    <w:next w:val="1"/>
    <w:link w:val="28"/>
    <w:unhideWhenUsed/>
    <w:qFormat/>
    <w:uiPriority w:val="0"/>
    <w:pPr>
      <w:ind w:left="100" w:leftChars="2500"/>
    </w:p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9"/>
    <w:link w:val="64"/>
    <w:semiHidden/>
    <w:unhideWhenUsed/>
    <w:qFormat/>
    <w:uiPriority w:val="99"/>
    <w:pPr>
      <w:ind w:firstLine="420" w:firstLineChars="200"/>
    </w:p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FollowedHyperlink"/>
    <w:basedOn w:val="18"/>
    <w:unhideWhenUsed/>
    <w:qFormat/>
    <w:uiPriority w:val="99"/>
    <w:rPr>
      <w:color w:val="800080"/>
      <w:u w:val="single"/>
    </w:rPr>
  </w:style>
  <w:style w:type="character" w:styleId="21">
    <w:name w:val="Hyperlink"/>
    <w:basedOn w:val="18"/>
    <w:unhideWhenUsed/>
    <w:qFormat/>
    <w:uiPriority w:val="99"/>
    <w:rPr>
      <w:color w:val="0563C1"/>
      <w:u w:val="single"/>
    </w:rPr>
  </w:style>
  <w:style w:type="character" w:customStyle="1" w:styleId="22">
    <w:name w:val="标题 1 Char"/>
    <w:basedOn w:val="18"/>
    <w:link w:val="2"/>
    <w:qFormat/>
    <w:uiPriority w:val="9"/>
    <w:rPr>
      <w:b/>
      <w:bCs/>
      <w:kern w:val="44"/>
      <w:sz w:val="44"/>
      <w:szCs w:val="44"/>
    </w:rPr>
  </w:style>
  <w:style w:type="character" w:customStyle="1" w:styleId="23">
    <w:name w:val="页眉 Char"/>
    <w:basedOn w:val="18"/>
    <w:link w:val="14"/>
    <w:qFormat/>
    <w:uiPriority w:val="0"/>
    <w:rPr>
      <w:sz w:val="18"/>
      <w:szCs w:val="18"/>
    </w:rPr>
  </w:style>
  <w:style w:type="character" w:customStyle="1" w:styleId="24">
    <w:name w:val="页脚 Char"/>
    <w:basedOn w:val="18"/>
    <w:link w:val="13"/>
    <w:qFormat/>
    <w:uiPriority w:val="99"/>
    <w:rPr>
      <w:sz w:val="18"/>
      <w:szCs w:val="18"/>
    </w:rPr>
  </w:style>
  <w:style w:type="character" w:customStyle="1" w:styleId="25">
    <w:name w:val="批注框文本 Char"/>
    <w:basedOn w:val="18"/>
    <w:link w:val="12"/>
    <w:semiHidden/>
    <w:qFormat/>
    <w:uiPriority w:val="99"/>
    <w:rPr>
      <w:sz w:val="18"/>
      <w:szCs w:val="18"/>
    </w:rPr>
  </w:style>
  <w:style w:type="character" w:customStyle="1" w:styleId="26">
    <w:name w:val="正文文本 Char"/>
    <w:basedOn w:val="18"/>
    <w:link w:val="7"/>
    <w:qFormat/>
    <w:uiPriority w:val="0"/>
  </w:style>
  <w:style w:type="paragraph" w:styleId="27">
    <w:name w:val="List Paragraph"/>
    <w:basedOn w:val="1"/>
    <w:unhideWhenUsed/>
    <w:qFormat/>
    <w:uiPriority w:val="99"/>
    <w:pPr>
      <w:ind w:firstLine="420" w:firstLineChars="200"/>
    </w:pPr>
    <w:rPr>
      <w:szCs w:val="24"/>
    </w:rPr>
  </w:style>
  <w:style w:type="character" w:customStyle="1" w:styleId="28">
    <w:name w:val="日期 Char"/>
    <w:basedOn w:val="18"/>
    <w:link w:val="11"/>
    <w:qFormat/>
    <w:uiPriority w:val="0"/>
  </w:style>
  <w:style w:type="paragraph" w:customStyle="1" w:styleId="29">
    <w:name w:val="Body Text 21"/>
    <w:basedOn w:val="1"/>
    <w:qFormat/>
    <w:uiPriority w:val="0"/>
    <w:pPr>
      <w:snapToGrid w:val="0"/>
      <w:spacing w:line="540" w:lineRule="exact"/>
    </w:pPr>
    <w:rPr>
      <w:rFonts w:ascii="Calibri" w:hAnsi="Calibri" w:eastAsia="方正仿宋_GBK" w:cs="Times New Roman"/>
      <w:color w:val="000000"/>
      <w:szCs w:val="24"/>
    </w:rPr>
  </w:style>
  <w:style w:type="character" w:customStyle="1" w:styleId="30">
    <w:name w:val="font21"/>
    <w:basedOn w:val="18"/>
    <w:qFormat/>
    <w:uiPriority w:val="0"/>
    <w:rPr>
      <w:rFonts w:hint="eastAsia" w:ascii="方正黑体_GBK" w:hAnsi="方正黑体_GBK" w:eastAsia="方正黑体_GBK" w:cs="方正黑体_GBK"/>
      <w:color w:val="000000"/>
      <w:sz w:val="24"/>
      <w:szCs w:val="24"/>
      <w:u w:val="none"/>
    </w:rPr>
  </w:style>
  <w:style w:type="character" w:customStyle="1" w:styleId="31">
    <w:name w:val="font11"/>
    <w:basedOn w:val="18"/>
    <w:qFormat/>
    <w:uiPriority w:val="0"/>
    <w:rPr>
      <w:rFonts w:hint="default" w:ascii="Times New Roman" w:hAnsi="Times New Roman" w:cs="Times New Roman"/>
      <w:color w:val="000000"/>
      <w:sz w:val="24"/>
      <w:szCs w:val="24"/>
      <w:u w:val="none"/>
    </w:rPr>
  </w:style>
  <w:style w:type="character" w:customStyle="1" w:styleId="32">
    <w:name w:val="font01"/>
    <w:basedOn w:val="18"/>
    <w:qFormat/>
    <w:uiPriority w:val="0"/>
    <w:rPr>
      <w:rFonts w:ascii="方正仿宋_GBK" w:hAnsi="方正仿宋_GBK" w:eastAsia="方正仿宋_GBK" w:cs="方正仿宋_GBK"/>
      <w:color w:val="000000"/>
      <w:sz w:val="24"/>
      <w:szCs w:val="24"/>
      <w:u w:val="none"/>
    </w:r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font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font8"/>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37">
    <w:name w:val="font9"/>
    <w:basedOn w:val="1"/>
    <w:qFormat/>
    <w:uiPriority w:val="0"/>
    <w:pPr>
      <w:widowControl/>
      <w:spacing w:before="100" w:beforeAutospacing="1" w:after="100" w:afterAutospacing="1"/>
      <w:jc w:val="left"/>
    </w:pPr>
    <w:rPr>
      <w:rFonts w:ascii="Verdana" w:hAnsi="Verdana" w:eastAsia="宋体" w:cs="宋体"/>
      <w:kern w:val="0"/>
      <w:sz w:val="24"/>
      <w:szCs w:val="24"/>
    </w:rPr>
  </w:style>
  <w:style w:type="paragraph" w:customStyle="1" w:styleId="38">
    <w:name w:val="font10"/>
    <w:basedOn w:val="1"/>
    <w:qFormat/>
    <w:uiPriority w:val="0"/>
    <w:pPr>
      <w:widowControl/>
      <w:spacing w:before="100" w:beforeAutospacing="1" w:after="100" w:afterAutospacing="1"/>
      <w:jc w:val="left"/>
    </w:pPr>
    <w:rPr>
      <w:rFonts w:ascii="Helvetica" w:hAnsi="Helvetica" w:eastAsia="宋体" w:cs="Helvetica"/>
      <w:kern w:val="0"/>
      <w:sz w:val="24"/>
      <w:szCs w:val="24"/>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eastAsia="宋体" w:cs="宋体"/>
      <w:kern w:val="0"/>
      <w:sz w:val="24"/>
      <w:szCs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eastAsia="宋体" w:cs="宋体"/>
      <w:kern w:val="0"/>
      <w:sz w:val="24"/>
      <w:szCs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eastAsia="宋体" w:cs="宋体"/>
      <w:kern w:val="0"/>
      <w:sz w:val="24"/>
      <w:szCs w:val="24"/>
    </w:rPr>
  </w:style>
  <w:style w:type="paragraph" w:customStyle="1" w:styleId="4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eastAsia="宋体" w:cs="宋体"/>
      <w:kern w:val="0"/>
      <w:sz w:val="24"/>
      <w:szCs w:val="24"/>
    </w:rPr>
  </w:style>
  <w:style w:type="paragraph" w:customStyle="1" w:styleId="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52">
    <w:name w:val="xl7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微软雅黑" w:hAnsi="微软雅黑" w:eastAsia="微软雅黑" w:cs="宋体"/>
      <w:kern w:val="0"/>
      <w:sz w:val="24"/>
      <w:szCs w:val="24"/>
    </w:rPr>
  </w:style>
  <w:style w:type="paragraph" w:customStyle="1" w:styleId="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59">
    <w:name w:val="xl85"/>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table" w:customStyle="1" w:styleId="60">
    <w:name w:val="网格型1"/>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标题 4 Char"/>
    <w:basedOn w:val="18"/>
    <w:link w:val="4"/>
    <w:qFormat/>
    <w:uiPriority w:val="0"/>
    <w:rPr>
      <w:rFonts w:ascii="Arial" w:hAnsi="Arial" w:eastAsia="黑体" w:cs="Times New Roman"/>
      <w:b/>
      <w:kern w:val="2"/>
      <w:sz w:val="28"/>
      <w:szCs w:val="24"/>
    </w:rPr>
  </w:style>
  <w:style w:type="character" w:customStyle="1" w:styleId="62">
    <w:name w:val="标题 2 Char"/>
    <w:basedOn w:val="18"/>
    <w:link w:val="3"/>
    <w:semiHidden/>
    <w:qFormat/>
    <w:uiPriority w:val="9"/>
    <w:rPr>
      <w:rFonts w:asciiTheme="majorHAnsi" w:hAnsiTheme="majorHAnsi" w:eastAsiaTheme="majorEastAsia" w:cstheme="majorBidi"/>
      <w:b/>
      <w:bCs/>
      <w:kern w:val="2"/>
      <w:sz w:val="32"/>
      <w:szCs w:val="32"/>
    </w:rPr>
  </w:style>
  <w:style w:type="character" w:customStyle="1" w:styleId="63">
    <w:name w:val="正文文本缩进 Char"/>
    <w:basedOn w:val="18"/>
    <w:link w:val="9"/>
    <w:semiHidden/>
    <w:qFormat/>
    <w:uiPriority w:val="99"/>
    <w:rPr>
      <w:kern w:val="2"/>
      <w:sz w:val="21"/>
      <w:szCs w:val="22"/>
    </w:rPr>
  </w:style>
  <w:style w:type="character" w:customStyle="1" w:styleId="64">
    <w:name w:val="正文首行缩进 2 Char"/>
    <w:basedOn w:val="63"/>
    <w:link w:val="15"/>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507</Words>
  <Characters>2894</Characters>
  <Lines>24</Lines>
  <Paragraphs>6</Paragraphs>
  <TotalTime>0</TotalTime>
  <ScaleCrop>false</ScaleCrop>
  <LinksUpToDate>false</LinksUpToDate>
  <CharactersWithSpaces>3395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2023-08-15T14:52:00Z</dcterms:created>
  <dc:creator>Administrator</dc:creator>
  <cp:lastModifiedBy>guest</cp:lastModifiedBy>
  <cp:lastPrinted>2023-07-18T15:14:00Z</cp:lastPrinted>
  <dcterms:modified xsi:type="dcterms:W3CDTF">2023-09-07T15:10:34Z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ECC05A46FC6B4A3EA9C9046A5ABE013A</vt:lpwstr>
  </property>
</Properties>
</file>