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461" w:line="207" w:lineRule="auto"/>
        <w:jc w:val="right"/>
        <w:rPr>
          <w:rFonts w:ascii="FZXiaoBiaoSong-B05" w:hAnsi="FZXiaoBiaoSong-B05" w:eastAsia="FZXiaoBiaoSong-B05" w:cs="FZXiaoBiaoSong-B05"/>
          <w:sz w:val="119"/>
          <w:szCs w:val="119"/>
        </w:rPr>
      </w:pPr>
      <w:r>
        <w:rPr>
          <w:rFonts w:ascii="FZXiaoBiaoSong-B05" w:hAnsi="FZXiaoBiaoSong-B05" w:eastAsia="FZXiaoBiaoSong-B05" w:cs="FZXiaoBiaoSong-B05"/>
          <w:color w:val="FF0000"/>
          <w:spacing w:val="-12"/>
          <w:w w:val="35"/>
          <w:sz w:val="119"/>
          <w:szCs w:val="119"/>
        </w:rPr>
        <w:t>南川区抗震救灾和地质灾</w:t>
      </w:r>
      <w:r>
        <w:rPr>
          <w:rFonts w:ascii="FZXiaoBiaoSong-B05" w:hAnsi="FZXiaoBiaoSong-B05" w:eastAsia="FZXiaoBiaoSong-B05" w:cs="FZXiaoBiaoSong-B05"/>
          <w:color w:val="FF0000"/>
          <w:spacing w:val="-11"/>
          <w:w w:val="35"/>
          <w:sz w:val="119"/>
          <w:szCs w:val="119"/>
        </w:rPr>
        <w:t>害防治救援指挥部文</w:t>
      </w:r>
      <w:r>
        <w:rPr>
          <w:rFonts w:ascii="FZXiaoBiaoSong-B05" w:hAnsi="FZXiaoBiaoSong-B05" w:eastAsia="FZXiaoBiaoSong-B05" w:cs="FZXiaoBiaoSong-B05"/>
          <w:color w:val="FF0000"/>
          <w:w w:val="35"/>
          <w:sz w:val="119"/>
          <w:szCs w:val="119"/>
        </w:rPr>
        <w:t>件</w:t>
      </w:r>
    </w:p>
    <w:p>
      <w:pPr>
        <w:spacing w:line="243" w:lineRule="auto"/>
        <w:rPr>
          <w:rFonts w:ascii="Arial"/>
          <w:sz w:val="21"/>
        </w:rPr>
      </w:pPr>
    </w:p>
    <w:p>
      <w:pPr>
        <w:spacing w:line="243" w:lineRule="auto"/>
        <w:rPr>
          <w:rFonts w:ascii="Arial"/>
          <w:sz w:val="21"/>
        </w:rPr>
      </w:pPr>
    </w:p>
    <w:p>
      <w:pPr>
        <w:pStyle w:val="2"/>
        <w:spacing w:before="113" w:line="503" w:lineRule="exact"/>
        <w:ind w:left="2588"/>
      </w:pPr>
      <w:r>
        <w:rPr>
          <w:spacing w:val="5"/>
          <w:position w:val="4"/>
        </w:rPr>
        <w:t>南川抗震指发〔</w:t>
      </w:r>
      <w:r>
        <w:rPr>
          <w:rFonts w:ascii="Times New Roman" w:hAnsi="Times New Roman" w:eastAsia="Times New Roman" w:cs="Times New Roman"/>
          <w:spacing w:val="5"/>
          <w:position w:val="4"/>
        </w:rPr>
        <w:t>2026</w:t>
      </w:r>
      <w:r>
        <w:rPr>
          <w:spacing w:val="5"/>
          <w:position w:val="4"/>
        </w:rPr>
        <w:t>〕</w:t>
      </w:r>
      <w:r>
        <w:rPr>
          <w:rFonts w:ascii="Times New Roman" w:hAnsi="Times New Roman" w:eastAsia="Times New Roman" w:cs="Times New Roman"/>
          <w:spacing w:val="5"/>
          <w:position w:val="4"/>
        </w:rPr>
        <w:t>19</w:t>
      </w:r>
      <w:r>
        <w:rPr>
          <w:rFonts w:ascii="Times New Roman" w:hAnsi="Times New Roman" w:eastAsia="Times New Roman" w:cs="Times New Roman"/>
          <w:spacing w:val="26"/>
          <w:position w:val="4"/>
        </w:rPr>
        <w:t xml:space="preserve"> </w:t>
      </w:r>
      <w:r>
        <w:rPr>
          <w:spacing w:val="5"/>
          <w:position w:val="4"/>
        </w:rPr>
        <w:t>号</w:t>
      </w:r>
    </w:p>
    <w:p>
      <w:pPr>
        <w:spacing w:line="60" w:lineRule="exact"/>
      </w:pPr>
      <w:r>
        <w:rPr>
          <w:position w:val="-1"/>
        </w:rPr>
        <w:drawing>
          <wp:inline distT="0" distB="0" distL="0" distR="0">
            <wp:extent cx="5857875" cy="381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5857875" cy="38100"/>
                    </a:xfrm>
                    <a:prstGeom prst="rect">
                      <a:avLst/>
                    </a:prstGeom>
                  </pic:spPr>
                </pic:pic>
              </a:graphicData>
            </a:graphic>
          </wp:inline>
        </w:drawing>
      </w: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166" w:line="224" w:lineRule="auto"/>
        <w:ind w:left="816" w:right="532" w:hanging="473"/>
        <w:outlineLvl w:val="0"/>
        <w:rPr>
          <w:rFonts w:ascii="FZXiaoBiaoSong-B05" w:hAnsi="FZXiaoBiaoSong-B05" w:eastAsia="FZXiaoBiaoSong-B05" w:cs="FZXiaoBiaoSong-B05"/>
          <w:sz w:val="43"/>
          <w:szCs w:val="43"/>
        </w:rPr>
      </w:pPr>
      <w:r>
        <w:rPr>
          <w:rFonts w:ascii="FZXiaoBiaoSong-B05" w:hAnsi="FZXiaoBiaoSong-B05" w:eastAsia="FZXiaoBiaoSong-B05" w:cs="FZXiaoBiaoSong-B05"/>
          <w:spacing w:val="9"/>
          <w:sz w:val="43"/>
          <w:szCs w:val="43"/>
        </w:rPr>
        <w:t>南川区抗震救灾和地质灾害防治救援指挥部关于终止地质灾害四级应急响应的通知</w:t>
      </w:r>
    </w:p>
    <w:p>
      <w:pPr>
        <w:spacing w:line="261" w:lineRule="auto"/>
        <w:rPr>
          <w:rFonts w:ascii="Arial"/>
          <w:sz w:val="21"/>
        </w:rPr>
      </w:pPr>
    </w:p>
    <w:p>
      <w:pPr>
        <w:spacing w:line="262" w:lineRule="auto"/>
        <w:rPr>
          <w:rFonts w:ascii="Arial"/>
          <w:sz w:val="21"/>
        </w:rPr>
      </w:pPr>
    </w:p>
    <w:p>
      <w:pPr>
        <w:pStyle w:val="2"/>
        <w:spacing w:before="114" w:line="235" w:lineRule="auto"/>
        <w:ind w:left="123"/>
      </w:pPr>
      <w:r>
        <w:rPr>
          <w:spacing w:val="6"/>
        </w:rPr>
        <w:t>各乡镇人民政府、街道办事处，</w:t>
      </w:r>
      <w:r>
        <w:rPr>
          <w:spacing w:val="-61"/>
        </w:rPr>
        <w:t xml:space="preserve"> </w:t>
      </w:r>
      <w:r>
        <w:rPr>
          <w:spacing w:val="6"/>
        </w:rPr>
        <w:t>区地指成员单位，有关单位：</w:t>
      </w:r>
    </w:p>
    <w:p>
      <w:pPr>
        <w:pStyle w:val="2"/>
        <w:spacing w:before="146" w:line="313" w:lineRule="auto"/>
        <w:ind w:left="119" w:right="299" w:firstLine="642"/>
        <w:jc w:val="both"/>
      </w:pPr>
      <w:r>
        <w:rPr>
          <w:spacing w:val="4"/>
        </w:rPr>
        <w:t>据气象部门通报，本轮强降雨过程已经结束，地质灾害</w:t>
      </w:r>
      <w:r>
        <w:rPr>
          <w:spacing w:val="3"/>
        </w:rPr>
        <w:t>风险</w:t>
      </w:r>
      <w:r>
        <w:rPr>
          <w:spacing w:val="-7"/>
        </w:rPr>
        <w:t>发生概率逐步降低。按照《重庆市南川区地质灾害应急预案》（南</w:t>
      </w:r>
      <w:r>
        <w:rPr>
          <w:spacing w:val="11"/>
        </w:rPr>
        <w:t>川府办〔</w:t>
      </w:r>
      <w:r>
        <w:rPr>
          <w:rFonts w:ascii="Times New Roman" w:hAnsi="Times New Roman" w:eastAsia="Times New Roman" w:cs="Times New Roman"/>
          <w:spacing w:val="11"/>
        </w:rPr>
        <w:t>2024</w:t>
      </w:r>
      <w:r>
        <w:rPr>
          <w:spacing w:val="11"/>
        </w:rPr>
        <w:t>〕</w:t>
      </w:r>
      <w:r>
        <w:rPr>
          <w:rFonts w:ascii="Times New Roman" w:hAnsi="Times New Roman" w:eastAsia="Times New Roman" w:cs="Times New Roman"/>
          <w:spacing w:val="11"/>
        </w:rPr>
        <w:t>76</w:t>
      </w:r>
      <w:r>
        <w:rPr>
          <w:rFonts w:ascii="Times New Roman" w:hAnsi="Times New Roman" w:eastAsia="Times New Roman" w:cs="Times New Roman"/>
          <w:spacing w:val="31"/>
        </w:rPr>
        <w:t xml:space="preserve"> </w:t>
      </w:r>
      <w:r>
        <w:rPr>
          <w:spacing w:val="11"/>
        </w:rPr>
        <w:t>号）有关规定，经区抗震救灾</w:t>
      </w:r>
      <w:r>
        <w:rPr>
          <w:spacing w:val="10"/>
        </w:rPr>
        <w:t>和地质灾害防</w:t>
      </w:r>
      <w:r>
        <w:rPr>
          <w:spacing w:val="-5"/>
        </w:rPr>
        <w:t>治救援指挥部会商研判，决定于</w:t>
      </w:r>
      <w:r>
        <w:rPr>
          <w:spacing w:val="-42"/>
        </w:rPr>
        <w:t xml:space="preserve"> </w:t>
      </w:r>
      <w:r>
        <w:rPr>
          <w:rFonts w:ascii="Times New Roman" w:hAnsi="Times New Roman" w:eastAsia="Times New Roman" w:cs="Times New Roman"/>
          <w:spacing w:val="-5"/>
        </w:rPr>
        <w:t>2026</w:t>
      </w:r>
      <w:r>
        <w:rPr>
          <w:rFonts w:ascii="Times New Roman" w:hAnsi="Times New Roman" w:eastAsia="Times New Roman" w:cs="Times New Roman"/>
          <w:spacing w:val="21"/>
        </w:rPr>
        <w:t xml:space="preserve"> </w:t>
      </w:r>
      <w:r>
        <w:rPr>
          <w:spacing w:val="-5"/>
        </w:rPr>
        <w:t>年</w:t>
      </w:r>
      <w:r>
        <w:rPr>
          <w:spacing w:val="-45"/>
        </w:rPr>
        <w:t xml:space="preserve"> </w:t>
      </w:r>
      <w:r>
        <w:rPr>
          <w:rFonts w:ascii="Times New Roman" w:hAnsi="Times New Roman" w:eastAsia="Times New Roman" w:cs="Times New Roman"/>
          <w:spacing w:val="-5"/>
        </w:rPr>
        <w:t>7</w:t>
      </w:r>
      <w:r>
        <w:rPr>
          <w:rFonts w:ascii="Times New Roman" w:hAnsi="Times New Roman" w:eastAsia="Times New Roman" w:cs="Times New Roman"/>
          <w:spacing w:val="33"/>
        </w:rPr>
        <w:t xml:space="preserve"> </w:t>
      </w:r>
      <w:r>
        <w:rPr>
          <w:spacing w:val="-5"/>
        </w:rPr>
        <w:t>月</w:t>
      </w:r>
      <w:r>
        <w:rPr>
          <w:spacing w:val="-51"/>
        </w:rPr>
        <w:t xml:space="preserve"> </w:t>
      </w:r>
      <w:r>
        <w:rPr>
          <w:rFonts w:ascii="Times New Roman" w:hAnsi="Times New Roman" w:eastAsia="Times New Roman" w:cs="Times New Roman"/>
          <w:spacing w:val="-5"/>
        </w:rPr>
        <w:t xml:space="preserve">4  </w:t>
      </w:r>
      <w:r>
        <w:rPr>
          <w:spacing w:val="-5"/>
        </w:rPr>
        <w:t xml:space="preserve">日 </w:t>
      </w:r>
      <w:r>
        <w:rPr>
          <w:rFonts w:ascii="Times New Roman" w:hAnsi="Times New Roman" w:eastAsia="Times New Roman" w:cs="Times New Roman"/>
          <w:spacing w:val="-5"/>
        </w:rPr>
        <w:t>15</w:t>
      </w:r>
      <w:r>
        <w:rPr>
          <w:rFonts w:ascii="Times New Roman" w:hAnsi="Times New Roman" w:eastAsia="Times New Roman" w:cs="Times New Roman"/>
          <w:spacing w:val="51"/>
          <w:w w:val="101"/>
        </w:rPr>
        <w:t xml:space="preserve"> </w:t>
      </w:r>
      <w:r>
        <w:rPr>
          <w:spacing w:val="-5"/>
        </w:rPr>
        <w:t>时起，终止</w:t>
      </w:r>
      <w:r>
        <w:rPr>
          <w:spacing w:val="7"/>
        </w:rPr>
        <w:t>地质灾害四级应急响应。</w:t>
      </w:r>
    </w:p>
    <w:p>
      <w:pPr>
        <w:pStyle w:val="2"/>
        <w:spacing w:before="17" w:line="319" w:lineRule="auto"/>
        <w:ind w:left="122" w:right="299" w:firstLine="671"/>
        <w:jc w:val="both"/>
      </w:pPr>
      <w:r>
        <w:rPr>
          <w:spacing w:val="2"/>
        </w:rPr>
        <w:t>降雨虽停，但发生地质灾害的风险依然存在。尤其是当前正</w:t>
      </w:r>
      <w:r>
        <w:rPr>
          <w:spacing w:val="4"/>
        </w:rPr>
        <w:t>处于主汛期，旱涝交替急转，地质灾害防治形势复杂严峻，暑期群众出行增多、人员流动加大，灾害防范难度进一步增加。各乡</w:t>
      </w:r>
    </w:p>
    <w:p>
      <w:pPr>
        <w:spacing w:line="319" w:lineRule="auto"/>
        <w:sectPr>
          <w:footerReference r:id="rId5" w:type="default"/>
          <w:pgSz w:w="11907" w:h="16840"/>
          <w:pgMar w:top="1431" w:right="1198" w:bottom="1158" w:left="1483" w:header="0" w:footer="791" w:gutter="0"/>
          <w:cols w:space="720" w:num="1"/>
        </w:sectPr>
      </w:pPr>
    </w:p>
    <w:p>
      <w:pPr>
        <w:spacing w:line="460" w:lineRule="auto"/>
        <w:rPr>
          <w:rFonts w:ascii="Arial"/>
          <w:sz w:val="21"/>
        </w:rPr>
      </w:pPr>
    </w:p>
    <w:p>
      <w:pPr>
        <w:pStyle w:val="2"/>
        <w:spacing w:before="113" w:line="318" w:lineRule="auto"/>
        <w:ind w:left="110" w:right="75" w:firstLine="1"/>
        <w:jc w:val="both"/>
      </w:pPr>
      <w:r>
        <w:rPr>
          <w:spacing w:val="4"/>
        </w:rPr>
        <w:t>镇（街道）、有关成员单位务必克服麻痹思想，以地质灾害高易</w:t>
      </w:r>
      <w:r>
        <w:rPr>
          <w:spacing w:val="6"/>
        </w:rPr>
        <w:t>发区、高风险区等重点区域，</w:t>
      </w:r>
      <w:r>
        <w:rPr>
          <w:spacing w:val="-77"/>
        </w:rPr>
        <w:t xml:space="preserve"> </w:t>
      </w:r>
      <w:r>
        <w:rPr>
          <w:spacing w:val="6"/>
        </w:rPr>
        <w:t>以及农村自建房边坡</w:t>
      </w:r>
      <w:r>
        <w:rPr>
          <w:spacing w:val="5"/>
        </w:rPr>
        <w:t>、公路边坡、</w:t>
      </w:r>
      <w:r>
        <w:rPr>
          <w:spacing w:val="4"/>
        </w:rPr>
        <w:t>已查明地灾隐患点等部位为重点，持续抓好地质灾害雨后巡查排</w:t>
      </w:r>
      <w:r>
        <w:rPr>
          <w:spacing w:val="8"/>
        </w:rPr>
        <w:t>查工作，确保人民群众生命财产安全。</w:t>
      </w:r>
    </w:p>
    <w:p>
      <w:pPr>
        <w:spacing w:line="354" w:lineRule="auto"/>
        <w:rPr>
          <w:rFonts w:ascii="Arial"/>
          <w:sz w:val="21"/>
        </w:rPr>
      </w:pPr>
    </w:p>
    <w:p>
      <w:pPr>
        <w:spacing w:line="355" w:lineRule="auto"/>
        <w:rPr>
          <w:rFonts w:ascii="Arial"/>
          <w:sz w:val="21"/>
        </w:rPr>
      </w:pPr>
    </w:p>
    <w:p>
      <w:pPr>
        <w:spacing w:before="133" w:line="205" w:lineRule="auto"/>
        <w:ind w:left="2684"/>
        <w:rPr>
          <w:rFonts w:ascii="FZFangSong-Z02" w:hAnsi="FZFangSong-Z02" w:eastAsia="FZFangSong-Z02" w:cs="FZFangSong-Z02"/>
          <w:snapToGrid w:val="0"/>
          <w:color w:val="000000"/>
          <w:spacing w:val="4"/>
          <w:kern w:val="0"/>
          <w:sz w:val="31"/>
          <w:szCs w:val="31"/>
          <w:lang w:val="en-US" w:eastAsia="en-US" w:bidi="ar-SA"/>
        </w:rPr>
      </w:pPr>
      <w:r>
        <w:rPr>
          <w:rFonts w:ascii="FZFangSong-Z02" w:hAnsi="FZFangSong-Z02" w:eastAsia="FZFangSong-Z02" w:cs="FZFangSong-Z02"/>
          <w:snapToGrid w:val="0"/>
          <w:color w:val="000000"/>
          <w:spacing w:val="4"/>
          <w:kern w:val="0"/>
          <w:sz w:val="31"/>
          <w:szCs w:val="31"/>
          <w:lang w:val="en-US" w:eastAsia="en-US" w:bidi="ar-SA"/>
        </w:rPr>
        <w:t>南川区抗震救灾和地质灾害防治救援指挥部</w:t>
      </w:r>
    </w:p>
    <w:p>
      <w:pPr>
        <w:spacing w:before="7" w:line="234" w:lineRule="auto"/>
        <w:ind w:left="5217" w:firstLine="318" w:firstLineChars="100"/>
        <w:rPr>
          <w:rFonts w:ascii="FZFangSong-Z02" w:hAnsi="FZFangSong-Z02" w:eastAsia="FZFangSong-Z02" w:cs="FZFangSong-Z02"/>
          <w:snapToGrid w:val="0"/>
          <w:color w:val="000000"/>
          <w:spacing w:val="4"/>
          <w:kern w:val="0"/>
          <w:sz w:val="31"/>
          <w:szCs w:val="31"/>
          <w:lang w:val="en-US" w:eastAsia="en-US" w:bidi="ar-SA"/>
        </w:rPr>
      </w:pPr>
      <w:bookmarkStart w:id="0" w:name="_GoBack"/>
      <w:bookmarkEnd w:id="0"/>
      <w:r>
        <w:rPr>
          <w:rFonts w:ascii="FZFangSong-Z02" w:hAnsi="FZFangSong-Z02" w:eastAsia="FZFangSong-Z02" w:cs="FZFangSong-Z02"/>
          <w:snapToGrid w:val="0"/>
          <w:color w:val="000000"/>
          <w:spacing w:val="4"/>
          <w:kern w:val="0"/>
          <w:sz w:val="31"/>
          <w:szCs w:val="31"/>
          <w:lang w:val="en-US" w:eastAsia="en-US" w:bidi="ar-SA"/>
        </w:rPr>
        <w:t>2026年7月4日</w:t>
      </w:r>
    </w:p>
    <w:p>
      <w:pPr>
        <w:spacing w:before="220" w:line="200" w:lineRule="auto"/>
        <w:ind w:left="720"/>
        <w:rPr>
          <w:rFonts w:ascii="FZFangSong-Z02" w:hAnsi="FZFangSong-Z02" w:eastAsia="FZFangSong-Z02" w:cs="FZFangSong-Z02"/>
          <w:snapToGrid w:val="0"/>
          <w:color w:val="000000"/>
          <w:spacing w:val="4"/>
          <w:kern w:val="0"/>
          <w:sz w:val="31"/>
          <w:szCs w:val="31"/>
          <w:lang w:val="en-US" w:eastAsia="en-US" w:bidi="ar-SA"/>
        </w:rPr>
      </w:pPr>
      <w:r>
        <w:rPr>
          <w:rFonts w:ascii="FZFangSong-Z02" w:hAnsi="FZFangSong-Z02" w:eastAsia="FZFangSong-Z02" w:cs="FZFangSong-Z02"/>
          <w:snapToGrid w:val="0"/>
          <w:color w:val="000000"/>
          <w:spacing w:val="4"/>
          <w:kern w:val="0"/>
          <w:sz w:val="31"/>
          <w:szCs w:val="31"/>
          <w:lang w:val="en-US" w:eastAsia="en-US" w:bidi="ar-SA"/>
        </w:rPr>
        <w:t>（此件公开发布）</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6" w:lineRule="exact"/>
      </w:pPr>
      <w:r>
        <w:drawing>
          <wp:inline distT="0" distB="0" distL="0" distR="0">
            <wp:extent cx="5728335" cy="1651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5728335" cy="16510"/>
                    </a:xfrm>
                    <a:prstGeom prst="rect">
                      <a:avLst/>
                    </a:prstGeom>
                  </pic:spPr>
                </pic:pic>
              </a:graphicData>
            </a:graphic>
          </wp:inline>
        </w:drawing>
      </w:r>
    </w:p>
    <w:p>
      <w:pPr>
        <w:pStyle w:val="2"/>
        <w:spacing w:before="100" w:line="450" w:lineRule="exact"/>
        <w:ind w:left="379"/>
        <w:rPr>
          <w:sz w:val="28"/>
          <w:szCs w:val="28"/>
        </w:rPr>
      </w:pPr>
      <w:r>
        <w:rPr>
          <w:spacing w:val="-15"/>
          <w:position w:val="3"/>
          <w:sz w:val="28"/>
          <w:szCs w:val="28"/>
        </w:rPr>
        <w:t xml:space="preserve">南川区抗震救灾和地质灾害防治救援指挥部办公室   </w:t>
      </w:r>
      <w:r>
        <w:rPr>
          <w:rFonts w:ascii="Times New Roman" w:hAnsi="Times New Roman" w:eastAsia="Times New Roman" w:cs="Times New Roman"/>
          <w:spacing w:val="-15"/>
          <w:position w:val="3"/>
          <w:sz w:val="28"/>
          <w:szCs w:val="28"/>
        </w:rPr>
        <w:t>2026</w:t>
      </w:r>
      <w:r>
        <w:rPr>
          <w:spacing w:val="-15"/>
          <w:position w:val="3"/>
          <w:sz w:val="28"/>
          <w:szCs w:val="28"/>
        </w:rPr>
        <w:t>年</w:t>
      </w:r>
      <w:r>
        <w:rPr>
          <w:rFonts w:ascii="Times New Roman" w:hAnsi="Times New Roman" w:eastAsia="Times New Roman" w:cs="Times New Roman"/>
          <w:spacing w:val="-15"/>
          <w:position w:val="3"/>
          <w:sz w:val="28"/>
          <w:szCs w:val="28"/>
        </w:rPr>
        <w:t>7</w:t>
      </w:r>
      <w:r>
        <w:rPr>
          <w:spacing w:val="-16"/>
          <w:position w:val="3"/>
          <w:sz w:val="28"/>
          <w:szCs w:val="28"/>
        </w:rPr>
        <w:t>月</w:t>
      </w:r>
      <w:r>
        <w:rPr>
          <w:rFonts w:ascii="Times New Roman" w:hAnsi="Times New Roman" w:eastAsia="Times New Roman" w:cs="Times New Roman"/>
          <w:spacing w:val="-16"/>
          <w:position w:val="3"/>
          <w:sz w:val="28"/>
          <w:szCs w:val="28"/>
        </w:rPr>
        <w:t xml:space="preserve">4 </w:t>
      </w:r>
      <w:r>
        <w:rPr>
          <w:spacing w:val="-16"/>
          <w:position w:val="3"/>
          <w:sz w:val="28"/>
          <w:szCs w:val="28"/>
        </w:rPr>
        <w:t>日印发</w:t>
      </w:r>
    </w:p>
    <w:p>
      <w:pPr>
        <w:spacing w:before="71" w:line="35" w:lineRule="exact"/>
        <w:ind w:firstLine="90"/>
      </w:pPr>
      <w:r>
        <w:drawing>
          <wp:inline distT="0" distB="0" distL="0" distR="0">
            <wp:extent cx="5715000" cy="222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5715025" cy="22225"/>
                    </a:xfrm>
                    <a:prstGeom prst="rect">
                      <a:avLst/>
                    </a:prstGeom>
                  </pic:spPr>
                </pic:pic>
              </a:graphicData>
            </a:graphic>
          </wp:inline>
        </w:drawing>
      </w:r>
    </w:p>
    <w:sectPr>
      <w:footerReference r:id="rId6" w:type="default"/>
      <w:pgSz w:w="11907" w:h="16840"/>
      <w:pgMar w:top="1431" w:right="1318" w:bottom="1158" w:left="1497" w:header="0" w:footer="7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FZFangSong-Z02">
    <w:panose1 w:val="02000000000000000000"/>
    <w:charset w:val="86"/>
    <w:family w:val="auto"/>
    <w:pitch w:val="default"/>
    <w:sig w:usb0="00000001" w:usb1="08000000" w:usb2="00000000" w:usb3="00000000" w:csb0="00040000" w:csb1="00000000"/>
  </w:font>
  <w:font w:name="FZXiaoBiaoSong-B05">
    <w:panose1 w:val="02000000000000000000"/>
    <w:charset w:val="86"/>
    <w:family w:val="auto"/>
    <w:pitch w:val="default"/>
    <w:sig w:usb0="00000001" w:usb1="08000000" w:usb2="00000000" w:usb3="00000000" w:csb0="00040000" w:csb1="00000000"/>
  </w:font>
  <w:font w:name="Microsoft YaHei">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ind w:left="8315"/>
      <w:rPr>
        <w:rFonts w:ascii="宋体" w:hAnsi="宋体" w:eastAsia="宋体" w:cs="宋体"/>
        <w:sz w:val="28"/>
        <w:szCs w:val="28"/>
      </w:rPr>
    </w:pPr>
    <w:r>
      <w:rPr>
        <w:rFonts w:ascii="宋体" w:hAnsi="宋体" w:eastAsia="宋体" w:cs="宋体"/>
        <w:spacing w:val="-14"/>
        <w:sz w:val="28"/>
        <w:szCs w:val="28"/>
      </w:rPr>
      <w:t>-</w:t>
    </w:r>
    <w:r>
      <w:rPr>
        <w:rFonts w:ascii="宋体" w:hAnsi="宋体" w:eastAsia="宋体" w:cs="宋体"/>
        <w:spacing w:val="31"/>
        <w:sz w:val="28"/>
        <w:szCs w:val="28"/>
      </w:rPr>
      <w:t xml:space="preserve"> </w:t>
    </w:r>
    <w:r>
      <w:rPr>
        <w:rFonts w:ascii="宋体" w:hAnsi="宋体" w:eastAsia="宋体" w:cs="宋体"/>
        <w:spacing w:val="-14"/>
        <w:sz w:val="28"/>
        <w:szCs w:val="28"/>
      </w:rPr>
      <w:t>1</w:t>
    </w:r>
    <w:r>
      <w:rPr>
        <w:rFonts w:ascii="宋体" w:hAnsi="宋体" w:eastAsia="宋体" w:cs="宋体"/>
        <w:spacing w:val="9"/>
        <w:sz w:val="28"/>
        <w:szCs w:val="28"/>
      </w:rPr>
      <w:t xml:space="preserve"> </w:t>
    </w:r>
    <w:r>
      <w:rPr>
        <w:rFonts w:ascii="宋体" w:hAnsi="宋体" w:eastAsia="宋体" w:cs="宋体"/>
        <w:spacing w:val="-14"/>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ind w:left="100"/>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3"/>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7F697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ZFangSong-Z02" w:hAnsi="FZFangSong-Z02" w:eastAsia="FZFangSong-Z02" w:cs="FZFangSong-Z02"/>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Office_11.8.2.10386_F1E327BC-269C-435d-A152-05C5408002CA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2026-07-04T18:58:00Z</dcterms:created>
  <dc:creator>雨林木风</dc:creator>
  <cp:lastModifiedBy>余琪</cp:lastModifiedBy>
  <dcterms:modified xsi:type="dcterms:W3CDTF">2026-07-06T11:17:00Z</dcterms:modified>
  <dc:title>南川安监文〔2013〕3号                签发人：杨厚伦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2026-07-06T11:12:12Z</vt:filetime>
  </property>
  <property fmtid="{D5CDD505-2E9C-101B-9397-08002B2CF9AE}" pid="4" name="KSOProductBuildVer">
    <vt:lpwstr>2052-11.8.2.10386</vt:lpwstr>
  </property>
</Properties>
</file>