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pacing w:val="1"/>
          <w:sz w:val="32"/>
          <w:szCs w:val="32"/>
        </w:rPr>
        <w:t>附件2</w:t>
      </w:r>
      <w:r>
        <w:rPr>
          <w:rFonts w:hint="default" w:ascii="Times New Roman" w:hAnsi="Times New Roman" w:eastAsia="方正黑体_GBK" w:cs="Times New Roman"/>
          <w:b w:val="0"/>
          <w:bCs w:val="0"/>
          <w:spacing w:val="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2"/>
          <w:sz w:val="44"/>
          <w:szCs w:val="44"/>
        </w:rPr>
        <w:t>2023年第三批农村低收入群体等重点对象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3"/>
          <w:sz w:val="44"/>
          <w:szCs w:val="44"/>
        </w:rPr>
        <w:t>危房改造计划分户花名册</w:t>
      </w:r>
    </w:p>
    <w:p>
      <w:pPr>
        <w:spacing w:before="78" w:line="231" w:lineRule="auto"/>
        <w:ind w:left="64" w:firstLine="504" w:firstLineChars="200"/>
        <w:rPr>
          <w:rFonts w:hint="default" w:ascii="Times New Roman" w:hAnsi="Times New Roman" w:eastAsia="仿宋" w:cs="Times New Roman"/>
          <w:spacing w:val="6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" w:firstLine="66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乡镇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 xml:space="preserve">:                                    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联系人及电话：</w:t>
      </w:r>
    </w:p>
    <w:tbl>
      <w:tblPr>
        <w:tblStyle w:val="9"/>
        <w:tblW w:w="14442" w:type="dxa"/>
        <w:tblInd w:w="-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839"/>
        <w:gridCol w:w="1968"/>
        <w:gridCol w:w="3012"/>
        <w:gridCol w:w="2734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54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3"/>
                <w:sz w:val="32"/>
                <w:szCs w:val="32"/>
              </w:rPr>
              <w:t>户主姓名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5"/>
                <w:sz w:val="32"/>
                <w:szCs w:val="32"/>
              </w:rPr>
              <w:t>乡镇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pacing w:val="5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5"/>
                <w:sz w:val="32"/>
                <w:szCs w:val="32"/>
              </w:rPr>
              <w:t>街道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pacing w:val="5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0"/>
                <w:sz w:val="32"/>
                <w:szCs w:val="32"/>
              </w:rPr>
              <w:t>村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pacing w:val="1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0"/>
                <w:sz w:val="32"/>
                <w:szCs w:val="32"/>
              </w:rPr>
              <w:t>社区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pacing w:val="1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2"/>
                <w:sz w:val="32"/>
                <w:szCs w:val="32"/>
              </w:rPr>
              <w:t>身份证号码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2"/>
                <w:sz w:val="32"/>
                <w:szCs w:val="32"/>
              </w:rPr>
              <w:t>低收入群体类型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4"/>
                <w:sz w:val="32"/>
                <w:szCs w:val="32"/>
              </w:rPr>
              <w:t>危房类别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="164" w:line="183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="156" w:line="183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="156" w:line="183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</w:tbl>
    <w:p>
      <w:pPr>
        <w:spacing w:before="13" w:line="199" w:lineRule="auto"/>
        <w:ind w:left="7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说明：1.低收入群体类型分为脱贫不稳定户、边缘户、低保户、农村分散供养特困人员、因病因灾因意外事故等刚性支出较大或收入大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</w:rPr>
        <w:t>幅缩减导致基本生活出现严重困难家庭</w:t>
      </w:r>
      <w:r>
        <w:rPr>
          <w:rFonts w:hint="eastAsia" w:ascii="Times New Roman" w:hAnsi="Times New Roman" w:eastAsia="方正仿宋_GBK" w:cs="Times New Roman"/>
          <w:spacing w:val="5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</w:rPr>
        <w:t>指经过乡村振兴部门认定的困难家庭</w:t>
      </w:r>
      <w:r>
        <w:rPr>
          <w:rFonts w:hint="eastAsia" w:ascii="Times New Roman" w:hAnsi="Times New Roman" w:eastAsia="方正仿宋_GBK" w:cs="Times New Roman"/>
          <w:spacing w:val="5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</w:rPr>
        <w:t>、农村</w:t>
      </w:r>
      <w:r>
        <w:rPr>
          <w:rFonts w:hint="default" w:ascii="Times New Roman" w:hAnsi="Times New Roman" w:eastAsia="方正仿宋_GBK" w:cs="Times New Roman"/>
          <w:spacing w:val="4"/>
          <w:sz w:val="28"/>
          <w:szCs w:val="28"/>
        </w:rPr>
        <w:t>低保边缘家庭、未享受过农村住房保障政策支持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且依靠自身力量无法解决住房安全问题的其他脱贫户</w:t>
      </w:r>
      <w:r>
        <w:rPr>
          <w:rFonts w:hint="eastAsia" w:ascii="Times New Roman" w:hAnsi="Times New Roman" w:eastAsia="方正仿宋_GBK" w:cs="Times New Roman"/>
          <w:spacing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指稳定脱贫户</w:t>
      </w:r>
      <w:r>
        <w:rPr>
          <w:rFonts w:hint="eastAsia" w:ascii="Times New Roman" w:hAnsi="Times New Roman" w:eastAsia="方正仿宋_GBK" w:cs="Times New Roman"/>
          <w:spacing w:val="2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。2.危房类别分为C级、D级、无房户。3.表格行数如不够</w:t>
      </w:r>
      <w:r>
        <w:rPr>
          <w:rFonts w:hint="default" w:ascii="Times New Roman" w:hAnsi="Times New Roman" w:eastAsia="方正仿宋_GBK" w:cs="Times New Roman"/>
          <w:spacing w:val="1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</w:rPr>
        <w:t>可自行添加</w:t>
      </w:r>
      <w:r>
        <w:rPr>
          <w:rFonts w:hint="default" w:ascii="Times New Roman" w:hAnsi="Times New Roman" w:eastAsia="方正仿宋_GBK" w:cs="Times New Roman"/>
          <w:spacing w:val="5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DQ0ZjFiNTkzNDA0NzRiNmZiNTYzYjU4ZTBiNjMifQ=="/>
  </w:docVars>
  <w:rsids>
    <w:rsidRoot w:val="04602713"/>
    <w:rsid w:val="046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/>
      <w:ind w:firstLine="420"/>
    </w:pPr>
    <w:rPr>
      <w:rFonts w:ascii="Calibri" w:hAnsi="Calibri" w:eastAsia="宋体" w:cs="黑体"/>
      <w:kern w:val="2"/>
      <w:sz w:val="21"/>
      <w:szCs w:val="2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UserStyle_2"/>
    <w:basedOn w:val="1"/>
    <w:next w:val="1"/>
    <w:qFormat/>
    <w:uiPriority w:val="0"/>
    <w:pPr>
      <w:ind w:left="1680"/>
      <w:jc w:val="both"/>
      <w:textAlignment w:val="baseline"/>
    </w:p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2023-07-19T02:52:00Z</dcterms:created>
  <dc:creator>堇耳</dc:creator>
  <cp:lastModifiedBy>堇耳</cp:lastModifiedBy>
  <dcterms:modified xsi:type="dcterms:W3CDTF">2023-07-19T02:52:55Z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35773285CA674C98B93E8AE0D95CE9CC_11</vt:lpwstr>
  </property>
</Properties>
</file>