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val="en-US" w:eastAsia="zh-CN"/>
        </w:rPr>
        <w:t>峰岩</w:t>
      </w:r>
      <w:r>
        <w:rPr>
          <w:rFonts w:hint="eastAsia" w:ascii="方正小标宋_GBK" w:hAnsi="方正小标宋_GBK" w:eastAsia="方正小标宋_GBK" w:cs="方正小标宋_GBK"/>
          <w:color w:val="000000"/>
          <w:sz w:val="44"/>
          <w:szCs w:val="44"/>
          <w:lang w:val="en-US" w:eastAsia="zh-CN"/>
        </w:rPr>
        <w:t>乡</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val="en-US" w:eastAsia="zh-CN"/>
              </w:rPr>
              <w:t>吕德容</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峰岩</w:t>
            </w:r>
            <w:r>
              <w:rPr>
                <w:rFonts w:hint="eastAsia" w:ascii="宋体" w:hAnsi="宋体" w:eastAsia="宋体"/>
                <w:b w:val="0"/>
                <w:color w:val="000000"/>
                <w:kern w:val="0"/>
                <w:sz w:val="18"/>
                <w:szCs w:val="18"/>
              </w:rPr>
              <w:t>乡人民政府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val="en-US" w:eastAsia="zh-CN"/>
              </w:rPr>
              <w:t>吕德容</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峰岩</w:t>
            </w:r>
            <w:r>
              <w:rPr>
                <w:rFonts w:hint="eastAsia" w:ascii="宋体" w:hAnsi="宋体" w:eastAsia="宋体"/>
                <w:b w:val="0"/>
                <w:color w:val="000000"/>
                <w:kern w:val="0"/>
                <w:sz w:val="18"/>
                <w:szCs w:val="18"/>
              </w:rPr>
              <w:t>乡人民政府</w:t>
            </w:r>
            <w:bookmarkStart w:id="0" w:name="_GoBack"/>
            <w:bookmarkEnd w:id="0"/>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val="en-US" w:eastAsia="zh-CN"/>
              </w:rPr>
              <w:t>吕德容</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峰岩</w:t>
            </w:r>
            <w:r>
              <w:rPr>
                <w:rFonts w:hint="eastAsia" w:ascii="宋体" w:hAnsi="宋体" w:eastAsia="宋体"/>
                <w:b w:val="0"/>
                <w:color w:val="000000"/>
                <w:kern w:val="0"/>
                <w:sz w:val="18"/>
                <w:szCs w:val="18"/>
              </w:rPr>
              <w:t>乡人民政府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val="en-US" w:eastAsia="zh-CN"/>
              </w:rPr>
              <w:t>吕德容</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峰岩</w:t>
            </w:r>
            <w:r>
              <w:rPr>
                <w:rFonts w:hint="eastAsia" w:ascii="宋体" w:hAnsi="宋体" w:eastAsia="宋体"/>
                <w:b w:val="0"/>
                <w:color w:val="000000"/>
                <w:kern w:val="0"/>
                <w:sz w:val="18"/>
                <w:szCs w:val="18"/>
              </w:rPr>
              <w:t>乡人民政府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val="en-US" w:eastAsia="zh-CN"/>
              </w:rPr>
              <w:t>吕德容</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司法所</w:t>
            </w:r>
          </w:p>
        </w:tc>
        <w:tc>
          <w:tcPr>
            <w:tcW w:w="962" w:type="dxa"/>
            <w:vAlign w:val="center"/>
          </w:tcPr>
          <w:p>
            <w:pPr>
              <w:jc w:val="center"/>
            </w:pPr>
            <w:r>
              <w:rPr>
                <w:rFonts w:hint="eastAsia" w:ascii="宋体" w:hAnsi="宋体" w:eastAsia="宋体"/>
                <w:b w:val="0"/>
                <w:color w:val="000000"/>
                <w:kern w:val="0"/>
                <w:sz w:val="18"/>
                <w:szCs w:val="18"/>
                <w:lang w:eastAsia="zh-CN"/>
              </w:rPr>
              <w:t>峰岩</w:t>
            </w:r>
            <w:r>
              <w:rPr>
                <w:rFonts w:hint="eastAsia" w:ascii="宋体" w:hAnsi="宋体" w:eastAsia="宋体"/>
                <w:b w:val="0"/>
                <w:color w:val="000000"/>
                <w:kern w:val="0"/>
                <w:sz w:val="18"/>
                <w:szCs w:val="18"/>
              </w:rPr>
              <w:t>乡人民政府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E1421A8"/>
    <w:rsid w:val="22164BAE"/>
    <w:rsid w:val="2BC977A3"/>
    <w:rsid w:val="30110DE2"/>
    <w:rsid w:val="345E4617"/>
    <w:rsid w:val="437217FE"/>
    <w:rsid w:val="4CB91D57"/>
    <w:rsid w:val="5FFB345A"/>
    <w:rsid w:val="6F4B35F7"/>
    <w:rsid w:val="7F7DB0EB"/>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TotalTime>
  <ScaleCrop>false</ScaleCrop>
  <LinksUpToDate>false</LinksUpToDate>
  <CharactersWithSpaces>2012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fyzf-09</cp:lastModifiedBy>
  <cp:lastPrinted>2024-01-17T09:34:00Z</cp:lastPrinted>
  <dcterms:modified xsi:type="dcterms:W3CDTF">2025-02-12T09:47:51Z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27CDE5B1053F43E6A5CA928CEEEFEC79_13</vt:lpwstr>
  </property>
</Properties>
</file>