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古花镇人民政府</w:t>
      </w:r>
      <w:r>
        <w:rPr>
          <w:rFonts w:hint="eastAsia" w:ascii="方正小标宋_GBK" w:hAnsi="方正小标宋_GBK" w:eastAsia="方正小标宋_GBK" w:cs="方正小标宋_GBK"/>
          <w:color w:val="000000"/>
          <w:kern w:val="0"/>
          <w:sz w:val="44"/>
          <w:szCs w:val="44"/>
          <w:lang w:eastAsia="zh-CN"/>
        </w:rPr>
        <w:t>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2024年版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6"/>
        <w:tblW w:w="160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序号</w:t>
            </w:r>
          </w:p>
        </w:tc>
        <w:tc>
          <w:tcPr>
            <w:tcW w:w="1773" w:type="dxa"/>
            <w:gridSpan w:val="2"/>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公开事项</w:t>
            </w:r>
          </w:p>
        </w:tc>
        <w:tc>
          <w:tcPr>
            <w:tcW w:w="2129" w:type="dxa"/>
            <w:vMerge w:val="restar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公开内容</w:t>
            </w:r>
          </w:p>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（要素）</w:t>
            </w:r>
          </w:p>
        </w:tc>
        <w:tc>
          <w:tcPr>
            <w:tcW w:w="2992" w:type="dxa"/>
            <w:vMerge w:val="restar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公开依据</w:t>
            </w:r>
          </w:p>
        </w:tc>
        <w:tc>
          <w:tcPr>
            <w:tcW w:w="687" w:type="dxa"/>
            <w:vMerge w:val="restar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公开时限</w:t>
            </w:r>
          </w:p>
        </w:tc>
        <w:tc>
          <w:tcPr>
            <w:tcW w:w="492" w:type="dxa"/>
            <w:vMerge w:val="restar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责任</w:t>
            </w:r>
          </w:p>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领导</w:t>
            </w:r>
          </w:p>
        </w:tc>
        <w:tc>
          <w:tcPr>
            <w:tcW w:w="750" w:type="dxa"/>
            <w:vMerge w:val="restar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责任</w:t>
            </w:r>
          </w:p>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overflowPunct w:val="0"/>
              <w:snapToGrid w:val="0"/>
              <w:spacing w:before="0" w:beforeAutospacing="0" w:after="0" w:afterAutospacing="0"/>
              <w:ind w:left="0" w:right="0"/>
              <w:jc w:val="center"/>
              <w:rPr>
                <w:rFonts w:hint="default"/>
                <w:color w:val="auto"/>
              </w:rPr>
            </w:pPr>
            <w:r>
              <w:rPr>
                <w:rFonts w:hint="eastAsia" w:ascii="宋体" w:hAnsi="宋体" w:eastAsia="宋体"/>
                <w:b w:val="0"/>
                <w:bCs/>
                <w:color w:val="auto"/>
                <w:kern w:val="0"/>
                <w:sz w:val="18"/>
                <w:szCs w:val="18"/>
              </w:rPr>
              <w:t>公开</w:t>
            </w:r>
            <w:r>
              <w:rPr>
                <w:rFonts w:hint="default" w:ascii="宋体" w:hAnsi="宋体" w:eastAsia="宋体"/>
                <w:b w:val="0"/>
                <w:bCs/>
                <w:color w:val="auto"/>
                <w:kern w:val="0"/>
                <w:sz w:val="18"/>
                <w:szCs w:val="18"/>
              </w:rPr>
              <w:br w:type="textWrapping"/>
            </w:r>
            <w:r>
              <w:rPr>
                <w:rFonts w:hint="eastAsia" w:ascii="宋体" w:hAnsi="宋体" w:eastAsia="宋体"/>
                <w:b w:val="0"/>
                <w:bCs/>
                <w:color w:val="auto"/>
                <w:kern w:val="0"/>
                <w:sz w:val="18"/>
                <w:szCs w:val="18"/>
              </w:rPr>
              <w:t>主体</w:t>
            </w:r>
          </w:p>
        </w:tc>
        <w:tc>
          <w:tcPr>
            <w:tcW w:w="2609" w:type="dxa"/>
            <w:vMerge w:val="restart"/>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default" w:ascii="方正黑体_GBK" w:hAnsi="方正黑体_GBK" w:eastAsia="方正黑体_GBK" w:cs="方正黑体_GBK"/>
                <w:color w:val="auto"/>
                <w:sz w:val="18"/>
              </w:rPr>
              <w:t>公开渠道和载体</w:t>
            </w:r>
          </w:p>
        </w:tc>
        <w:tc>
          <w:tcPr>
            <w:tcW w:w="1195" w:type="dxa"/>
            <w:gridSpan w:val="2"/>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公开对象</w:t>
            </w:r>
          </w:p>
        </w:tc>
        <w:tc>
          <w:tcPr>
            <w:tcW w:w="1063" w:type="dxa"/>
            <w:gridSpan w:val="2"/>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公开方式</w:t>
            </w:r>
          </w:p>
        </w:tc>
        <w:tc>
          <w:tcPr>
            <w:tcW w:w="910"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center"/>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651" w:hRule="atLeast"/>
          <w:tblHeader/>
          <w:jc w:val="center"/>
        </w:trPr>
        <w:tc>
          <w:tcPr>
            <w:tcW w:w="525" w:type="dxa"/>
            <w:vMerge w:val="continue"/>
            <w:tcBorders>
              <w:tl2br w:val="nil"/>
              <w:tr2bl w:val="nil"/>
            </w:tcBorders>
            <w:tcMar>
              <w:top w:w="15" w:type="dxa"/>
              <w:left w:w="15" w:type="dxa"/>
              <w:right w:w="15" w:type="dxa"/>
            </w:tcMar>
            <w:vAlign w:val="center"/>
          </w:tcPr>
          <w:p>
            <w:pPr>
              <w:keepNext w:val="0"/>
              <w:keepLines w:val="0"/>
              <w:suppressLineNumbers w:val="0"/>
              <w:spacing w:before="0" w:beforeAutospacing="0" w:after="0" w:afterAutospacing="0" w:line="310" w:lineRule="exact"/>
              <w:ind w:left="0" w:right="0"/>
              <w:jc w:val="center"/>
              <w:rPr>
                <w:rFonts w:hint="default" w:ascii="方正黑体_GBK" w:hAnsi="方正黑体_GBK" w:eastAsia="方正黑体_GBK" w:cs="方正黑体_GBK"/>
                <w:color w:val="auto"/>
                <w:sz w:val="18"/>
                <w:szCs w:val="18"/>
              </w:rPr>
            </w:pPr>
          </w:p>
        </w:tc>
        <w:tc>
          <w:tcPr>
            <w:tcW w:w="602"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一级</w:t>
            </w:r>
          </w:p>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事项</w:t>
            </w:r>
          </w:p>
        </w:tc>
        <w:tc>
          <w:tcPr>
            <w:tcW w:w="1171"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二级</w:t>
            </w:r>
          </w:p>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事项</w:t>
            </w:r>
          </w:p>
        </w:tc>
        <w:tc>
          <w:tcPr>
            <w:tcW w:w="2129" w:type="dxa"/>
            <w:vMerge w:val="continue"/>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p>
        </w:tc>
        <w:tc>
          <w:tcPr>
            <w:tcW w:w="2992" w:type="dxa"/>
            <w:vMerge w:val="continue"/>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p>
        </w:tc>
        <w:tc>
          <w:tcPr>
            <w:tcW w:w="687" w:type="dxa"/>
            <w:vMerge w:val="continue"/>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p>
        </w:tc>
        <w:tc>
          <w:tcPr>
            <w:tcW w:w="492" w:type="dxa"/>
            <w:vMerge w:val="continue"/>
            <w:tcBorders>
              <w:tl2br w:val="nil"/>
              <w:tr2bl w:val="nil"/>
            </w:tcBorders>
            <w:tcMar>
              <w:top w:w="15" w:type="dxa"/>
              <w:left w:w="15" w:type="dxa"/>
              <w:right w:w="15" w:type="dxa"/>
            </w:tcMar>
            <w:vAlign w:val="center"/>
          </w:tcPr>
          <w:p>
            <w:pPr>
              <w:keepNext w:val="0"/>
              <w:keepLines w:val="0"/>
              <w:suppressLineNumbers w:val="0"/>
              <w:spacing w:before="0" w:beforeAutospacing="0" w:after="0" w:afterAutospacing="0" w:line="310" w:lineRule="exact"/>
              <w:ind w:left="0" w:right="0"/>
              <w:jc w:val="center"/>
              <w:rPr>
                <w:rFonts w:hint="default" w:ascii="方正黑体_GBK" w:hAnsi="方正黑体_GBK" w:eastAsia="方正黑体_GBK" w:cs="方正黑体_GBK"/>
                <w:color w:val="auto"/>
                <w:sz w:val="18"/>
                <w:szCs w:val="18"/>
              </w:rPr>
            </w:pPr>
          </w:p>
        </w:tc>
        <w:tc>
          <w:tcPr>
            <w:tcW w:w="750" w:type="dxa"/>
            <w:vMerge w:val="continue"/>
            <w:tcBorders>
              <w:tl2br w:val="nil"/>
              <w:tr2bl w:val="nil"/>
            </w:tcBorders>
            <w:tcMar>
              <w:top w:w="15" w:type="dxa"/>
              <w:left w:w="15" w:type="dxa"/>
              <w:right w:w="15" w:type="dxa"/>
            </w:tcMar>
            <w:vAlign w:val="center"/>
          </w:tcPr>
          <w:p>
            <w:pPr>
              <w:keepNext w:val="0"/>
              <w:keepLines w:val="0"/>
              <w:suppressLineNumbers w:val="0"/>
              <w:spacing w:before="0" w:beforeAutospacing="0" w:after="0" w:afterAutospacing="0" w:line="310" w:lineRule="exact"/>
              <w:ind w:left="0" w:right="0"/>
              <w:jc w:val="center"/>
              <w:rPr>
                <w:rFonts w:hint="default" w:ascii="方正黑体_GBK" w:hAnsi="方正黑体_GBK" w:eastAsia="方正黑体_GBK" w:cs="方正黑体_GBK"/>
                <w:color w:val="auto"/>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left"/>
              <w:rPr>
                <w:rFonts w:hint="default"/>
                <w:color w:val="auto"/>
              </w:rPr>
            </w:pPr>
          </w:p>
        </w:tc>
        <w:tc>
          <w:tcPr>
            <w:tcW w:w="2609" w:type="dxa"/>
            <w:vMerge w:val="continue"/>
            <w:tcBorders>
              <w:tl2br w:val="nil"/>
              <w:tr2bl w:val="nil"/>
            </w:tcBorders>
            <w:tcMar>
              <w:top w:w="15" w:type="dxa"/>
              <w:left w:w="15" w:type="dxa"/>
              <w:right w:w="15" w:type="dxa"/>
            </w:tcMar>
            <w:vAlign w:val="center"/>
          </w:tcPr>
          <w:p>
            <w:pPr>
              <w:keepNext w:val="0"/>
              <w:keepLines w:val="0"/>
              <w:suppressLineNumbers w:val="0"/>
              <w:spacing w:before="0" w:beforeAutospacing="0" w:after="0" w:afterAutospacing="0" w:line="310" w:lineRule="exact"/>
              <w:ind w:left="0" w:right="0"/>
              <w:jc w:val="center"/>
              <w:rPr>
                <w:rFonts w:hint="default" w:ascii="方正黑体_GBK" w:hAnsi="方正黑体_GBK" w:eastAsia="方正黑体_GBK" w:cs="方正黑体_GBK"/>
                <w:color w:val="auto"/>
                <w:sz w:val="18"/>
                <w:szCs w:val="18"/>
              </w:rPr>
            </w:pPr>
          </w:p>
        </w:tc>
        <w:tc>
          <w:tcPr>
            <w:tcW w:w="622"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全社会</w:t>
            </w:r>
          </w:p>
        </w:tc>
        <w:tc>
          <w:tcPr>
            <w:tcW w:w="573"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特定</w:t>
            </w:r>
          </w:p>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群体</w:t>
            </w:r>
          </w:p>
        </w:tc>
        <w:tc>
          <w:tcPr>
            <w:tcW w:w="506"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主动</w:t>
            </w:r>
          </w:p>
        </w:tc>
        <w:tc>
          <w:tcPr>
            <w:tcW w:w="557"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依申</w:t>
            </w:r>
          </w:p>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请</w:t>
            </w:r>
          </w:p>
        </w:tc>
        <w:tc>
          <w:tcPr>
            <w:tcW w:w="910" w:type="dxa"/>
            <w:tcBorders>
              <w:tl2br w:val="nil"/>
              <w:tr2bl w:val="nil"/>
            </w:tcBorders>
            <w:tcMar>
              <w:top w:w="15" w:type="dxa"/>
              <w:left w:w="15" w:type="dxa"/>
              <w:right w:w="15" w:type="dxa"/>
            </w:tcMar>
            <w:vAlign w:val="center"/>
          </w:tcPr>
          <w:p>
            <w:pPr>
              <w:keepNext w:val="0"/>
              <w:keepLines w:val="0"/>
              <w:widowControl/>
              <w:suppressLineNumbers w:val="0"/>
              <w:spacing w:before="0" w:beforeAutospacing="0" w:after="0" w:afterAutospacing="0" w:line="310" w:lineRule="exact"/>
              <w:ind w:left="0" w:right="0"/>
              <w:jc w:val="center"/>
              <w:textAlignment w:val="top"/>
              <w:rPr>
                <w:rFonts w:hint="default"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lang w:eastAsia="zh-CN"/>
              </w:rPr>
              <w:t>乡镇</w:t>
            </w:r>
            <w:r>
              <w:rPr>
                <w:rFonts w:hint="eastAsia" w:ascii="方正黑体_GBK" w:hAnsi="方正黑体_GBK" w:eastAsia="方正黑体_GBK" w:cs="方正黑体_GBK"/>
                <w:color w:val="auto"/>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1</w:t>
            </w:r>
          </w:p>
        </w:tc>
        <w:tc>
          <w:tcPr>
            <w:tcW w:w="60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行政 </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给付</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p>
        </w:tc>
        <w:tc>
          <w:tcPr>
            <w:tcW w:w="1171"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人民调解员 </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补贴发放</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p>
        </w:tc>
        <w:tc>
          <w:tcPr>
            <w:tcW w:w="212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依据、条件、程序以及发放情况</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p>
        </w:tc>
        <w:tc>
          <w:tcPr>
            <w:tcW w:w="299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left"/>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《中华人民共和国人民调解法》</w:t>
            </w:r>
          </w:p>
          <w:p>
            <w:pPr>
              <w:keepNext w:val="0"/>
              <w:keepLines w:val="0"/>
              <w:suppressLineNumbers w:val="0"/>
              <w:overflowPunct w:val="0"/>
              <w:snapToGrid w:val="0"/>
              <w:spacing w:before="0" w:beforeAutospacing="0" w:after="0" w:afterAutospacing="0"/>
              <w:ind w:left="0" w:right="0"/>
              <w:jc w:val="left"/>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《中华人民共和国政府信息公开条例》</w:t>
            </w:r>
          </w:p>
          <w:p>
            <w:pPr>
              <w:keepNext w:val="0"/>
              <w:keepLines w:val="0"/>
              <w:suppressLineNumbers w:val="0"/>
              <w:overflowPunct w:val="0"/>
              <w:snapToGrid w:val="0"/>
              <w:spacing w:before="0" w:beforeAutospacing="0" w:after="0" w:afterAutospacing="0"/>
              <w:ind w:left="0" w:right="0"/>
              <w:jc w:val="left"/>
              <w:rPr>
                <w:rFonts w:hint="eastAsia" w:ascii="Times New Roman" w:hAnsi="Times New Roman" w:eastAsia="宋体" w:cs="宋体"/>
                <w:color w:val="auto"/>
                <w:kern w:val="0"/>
                <w:sz w:val="18"/>
                <w:szCs w:val="18"/>
              </w:rPr>
            </w:pPr>
          </w:p>
        </w:tc>
        <w:tc>
          <w:tcPr>
            <w:tcW w:w="68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制作或 </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获取信 </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息之日 </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起20 个 </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宋体" w:hAnsi="宋体" w:eastAsia="宋体" w:cs="宋体"/>
                <w:color w:val="auto"/>
                <w:sz w:val="18"/>
                <w:szCs w:val="18"/>
              </w:rPr>
            </w:pPr>
            <w:r>
              <w:rPr>
                <w:rFonts w:hint="eastAsia" w:ascii="宋体" w:hAnsi="宋体" w:eastAsia="宋体" w:cs="宋体"/>
                <w:color w:val="auto"/>
                <w:sz w:val="18"/>
                <w:szCs w:val="18"/>
                <w:lang w:eastAsia="zh-CN"/>
              </w:rPr>
              <w:t>赵晓莉</w:t>
            </w:r>
          </w:p>
        </w:tc>
        <w:tc>
          <w:tcPr>
            <w:tcW w:w="750"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大有司法所、古花镇平安建设办</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overflowPunct w:val="0"/>
              <w:snapToGrid w:val="0"/>
              <w:spacing w:before="0" w:beforeAutospacing="0" w:after="0" w:afterAutospacing="0"/>
              <w:ind w:left="0" w:right="0"/>
              <w:jc w:val="center"/>
              <w:rPr>
                <w:rFonts w:hint="default"/>
                <w:color w:val="auto"/>
              </w:rPr>
            </w:pPr>
            <w:r>
              <w:rPr>
                <w:rFonts w:hint="eastAsia" w:ascii="宋体" w:hAnsi="宋体" w:eastAsia="宋体"/>
                <w:b w:val="0"/>
                <w:color w:val="auto"/>
                <w:kern w:val="0"/>
                <w:sz w:val="18"/>
                <w:szCs w:val="18"/>
                <w:lang w:eastAsia="zh-CN"/>
              </w:rPr>
              <w:t>古花镇</w:t>
            </w:r>
            <w:r>
              <w:rPr>
                <w:rFonts w:hint="eastAsia" w:ascii="宋体" w:hAnsi="宋体" w:eastAsia="宋体"/>
                <w:b w:val="0"/>
                <w:color w:val="auto"/>
                <w:kern w:val="0"/>
                <w:sz w:val="18"/>
                <w:szCs w:val="18"/>
              </w:rPr>
              <w:t>人民政府</w:t>
            </w:r>
          </w:p>
        </w:tc>
        <w:tc>
          <w:tcPr>
            <w:tcW w:w="260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left"/>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p>
        </w:tc>
        <w:tc>
          <w:tcPr>
            <w:tcW w:w="62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p>
        </w:tc>
        <w:tc>
          <w:tcPr>
            <w:tcW w:w="573"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　</w:t>
            </w:r>
          </w:p>
        </w:tc>
        <w:tc>
          <w:tcPr>
            <w:tcW w:w="506"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p>
        </w:tc>
        <w:tc>
          <w:tcPr>
            <w:tcW w:w="55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　</w:t>
            </w:r>
          </w:p>
        </w:tc>
        <w:tc>
          <w:tcPr>
            <w:tcW w:w="910"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default"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　</w:t>
            </w: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2</w:t>
            </w:r>
          </w:p>
        </w:tc>
        <w:tc>
          <w:tcPr>
            <w:tcW w:w="60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left"/>
              <w:rPr>
                <w:rFonts w:hint="default" w:eastAsia="方正仿宋_GBK" w:cs="方正仿宋_GBK"/>
                <w:color w:val="auto"/>
                <w:kern w:val="0"/>
                <w:sz w:val="21"/>
                <w:szCs w:val="21"/>
                <w:lang w:bidi="ar"/>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《司法部办公厅关于印发公共法律服务领域基层政务公开标准指引的通知》（司办通〔2019〕57号）</w:t>
            </w:r>
          </w:p>
          <w:p>
            <w:pPr>
              <w:keepNext w:val="0"/>
              <w:keepLines w:val="0"/>
              <w:suppressLineNumbers w:val="0"/>
              <w:overflowPunct w:val="0"/>
              <w:snapToGrid w:val="0"/>
              <w:spacing w:before="0" w:beforeAutospacing="0" w:after="0" w:afterAutospacing="0"/>
              <w:ind w:left="0" w:right="0"/>
              <w:jc w:val="left"/>
              <w:rPr>
                <w:rFonts w:hint="eastAsia" w:ascii="Times New Roman" w:hAnsi="Times New Roman" w:eastAsia="宋体" w:cs="宋体"/>
                <w:color w:val="auto"/>
                <w:kern w:val="0"/>
                <w:sz w:val="18"/>
                <w:szCs w:val="18"/>
                <w:lang w:val="zh-CN" w:eastAsia="zh-CN" w:bidi="ar-SA"/>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赵晓莉）</w:t>
            </w:r>
          </w:p>
        </w:tc>
        <w:tc>
          <w:tcPr>
            <w:tcW w:w="750"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大有司法所、古花镇平安建设办</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overflowPunct w:val="0"/>
              <w:snapToGrid w:val="0"/>
              <w:spacing w:before="0" w:beforeAutospacing="0" w:after="0" w:afterAutospacing="0"/>
              <w:ind w:left="0" w:right="0"/>
              <w:jc w:val="center"/>
              <w:rPr>
                <w:rFonts w:hint="default"/>
                <w:color w:val="auto"/>
              </w:rPr>
            </w:pPr>
            <w:r>
              <w:rPr>
                <w:rFonts w:hint="eastAsia" w:ascii="宋体" w:hAnsi="宋体" w:eastAsia="宋体"/>
                <w:b w:val="0"/>
                <w:color w:val="auto"/>
                <w:kern w:val="0"/>
                <w:sz w:val="18"/>
                <w:szCs w:val="18"/>
                <w:lang w:eastAsia="zh-CN"/>
              </w:rPr>
              <w:t>古花镇</w:t>
            </w:r>
            <w:r>
              <w:rPr>
                <w:rFonts w:hint="eastAsia" w:ascii="宋体" w:hAnsi="宋体" w:eastAsia="宋体"/>
                <w:b w:val="0"/>
                <w:color w:val="auto"/>
                <w:kern w:val="0"/>
                <w:sz w:val="18"/>
                <w:szCs w:val="18"/>
              </w:rPr>
              <w:t>人民政府</w:t>
            </w:r>
          </w:p>
        </w:tc>
        <w:tc>
          <w:tcPr>
            <w:tcW w:w="260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left"/>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p>
        </w:tc>
        <w:tc>
          <w:tcPr>
            <w:tcW w:w="62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w:t>
            </w:r>
          </w:p>
        </w:tc>
        <w:tc>
          <w:tcPr>
            <w:tcW w:w="573"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宋体" w:hAnsi="宋体" w:eastAsia="宋体" w:cs="宋体"/>
                <w:color w:val="auto"/>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w:t>
            </w:r>
          </w:p>
        </w:tc>
        <w:tc>
          <w:tcPr>
            <w:tcW w:w="55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宋体" w:hAnsi="宋体" w:eastAsia="宋体" w:cs="宋体"/>
                <w:color w:val="auto"/>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3</w:t>
            </w:r>
          </w:p>
        </w:tc>
        <w:tc>
          <w:tcPr>
            <w:tcW w:w="60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《司法部办公厅关于印发公共法律服务领域基层政务公开标准指引的通知》（司办通〔2019〕57号）</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keepNext w:val="0"/>
              <w:keepLines w:val="0"/>
              <w:widowControl w:val="0"/>
              <w:suppressLineNumbers w:val="0"/>
              <w:overflowPunct w:val="0"/>
              <w:snapToGrid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赵晓莉）</w:t>
            </w:r>
          </w:p>
        </w:tc>
        <w:tc>
          <w:tcPr>
            <w:tcW w:w="750" w:type="dxa"/>
            <w:tcBorders>
              <w:tl2br w:val="nil"/>
              <w:tr2bl w:val="nil"/>
            </w:tcBorders>
            <w:tcMar>
              <w:top w:w="15" w:type="dxa"/>
              <w:left w:w="15" w:type="dxa"/>
              <w:right w:w="15" w:type="dxa"/>
            </w:tcMar>
            <w:vAlign w:val="center"/>
          </w:tcPr>
          <w:p>
            <w:pPr>
              <w:keepNext w:val="0"/>
              <w:keepLines w:val="0"/>
              <w:widowControl w:val="0"/>
              <w:suppressLineNumbers w:val="0"/>
              <w:overflowPunct w:val="0"/>
              <w:snapToGrid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大有司法所、古花镇平安建设办</w:t>
            </w:r>
          </w:p>
        </w:tc>
        <w:tc>
          <w:tcPr>
            <w:tcW w:w="962" w:type="dxa"/>
            <w:vAlign w:val="center"/>
          </w:tcPr>
          <w:p>
            <w:pPr>
              <w:keepNext w:val="0"/>
              <w:keepLines w:val="0"/>
              <w:widowControl w:val="0"/>
              <w:suppressLineNumbers w:val="0"/>
              <w:overflowPunct w:val="0"/>
              <w:snapToGrid w:val="0"/>
              <w:spacing w:before="0" w:beforeAutospacing="0" w:after="0" w:afterAutospacing="0"/>
              <w:ind w:left="0" w:leftChars="0" w:right="0" w:rightChars="0"/>
              <w:jc w:val="center"/>
              <w:rPr>
                <w:rFonts w:hint="default" w:ascii="Calibri" w:hAnsi="Calibri" w:eastAsia="宋体" w:cs="Times New Roman"/>
                <w:kern w:val="2"/>
                <w:sz w:val="21"/>
                <w:szCs w:val="21"/>
                <w:lang w:val="en-US" w:eastAsia="zh-CN" w:bidi="ar-SA"/>
              </w:rPr>
            </w:pPr>
            <w:r>
              <w:rPr>
                <w:rFonts w:hint="eastAsia" w:ascii="宋体" w:hAnsi="宋体" w:eastAsia="宋体" w:cs="宋体"/>
                <w:b w:val="0"/>
                <w:kern w:val="0"/>
                <w:sz w:val="18"/>
                <w:szCs w:val="18"/>
                <w:lang w:val="en-US" w:eastAsia="zh-CN" w:bidi="ar"/>
              </w:rPr>
              <w:t>古花镇人民政府</w:t>
            </w:r>
          </w:p>
        </w:tc>
        <w:tc>
          <w:tcPr>
            <w:tcW w:w="260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left"/>
              <w:rPr>
                <w:rFonts w:hint="default" w:eastAsia="方正仿宋_GBK" w:cs="方正仿宋_GBK" w:asciiTheme="minorHAnsi" w:hAnsiTheme="minorHAnsi"/>
                <w:color w:val="auto"/>
                <w:kern w:val="0"/>
                <w:sz w:val="21"/>
                <w:szCs w:val="21"/>
                <w:lang w:val="en-US" w:eastAsia="zh-CN" w:bidi="ar"/>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p>
        </w:tc>
        <w:tc>
          <w:tcPr>
            <w:tcW w:w="62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p>
        </w:tc>
        <w:tc>
          <w:tcPr>
            <w:tcW w:w="573"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p>
        </w:tc>
        <w:tc>
          <w:tcPr>
            <w:tcW w:w="506"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p>
        </w:tc>
        <w:tc>
          <w:tcPr>
            <w:tcW w:w="55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p>
        </w:tc>
        <w:tc>
          <w:tcPr>
            <w:tcW w:w="910"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4</w:t>
            </w:r>
          </w:p>
        </w:tc>
        <w:tc>
          <w:tcPr>
            <w:tcW w:w="60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其他</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法律知识</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《中共中央</w:t>
            </w:r>
            <w:r>
              <w:rPr>
                <w:rFonts w:hint="eastAsia" w:ascii="Times New Roman" w:hAnsi="Times New Roman" w:eastAsia="宋体" w:cs="宋体"/>
                <w:color w:val="auto"/>
                <w:kern w:val="0"/>
                <w:sz w:val="18"/>
                <w:szCs w:val="18"/>
                <w:lang w:val="en-US" w:eastAsia="zh-CN"/>
              </w:rPr>
              <w:t xml:space="preserve"> </w:t>
            </w:r>
            <w:r>
              <w:rPr>
                <w:rFonts w:hint="eastAsia" w:ascii="Times New Roman" w:hAnsi="Times New Roman" w:eastAsia="宋体" w:cs="宋体"/>
                <w:color w:val="auto"/>
                <w:kern w:val="0"/>
                <w:sz w:val="18"/>
                <w:szCs w:val="18"/>
                <w:lang w:val="zh-CN" w:eastAsia="zh-CN"/>
              </w:rPr>
              <w:t>国务院转发〈中央宣传部、司法部关于开展法治宣传教育的第八个五年规划（20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《中共重庆市委</w:t>
            </w:r>
            <w:r>
              <w:rPr>
                <w:rFonts w:hint="eastAsia" w:ascii="Times New Roman" w:hAnsi="Times New Roman" w:eastAsia="宋体" w:cs="宋体"/>
                <w:color w:val="auto"/>
                <w:kern w:val="0"/>
                <w:sz w:val="18"/>
                <w:szCs w:val="18"/>
                <w:lang w:val="en-US" w:eastAsia="zh-CN"/>
              </w:rPr>
              <w:t xml:space="preserve"> </w:t>
            </w:r>
            <w:r>
              <w:rPr>
                <w:rFonts w:hint="eastAsia" w:ascii="Times New Roman" w:hAnsi="Times New Roman" w:eastAsia="宋体" w:cs="宋体"/>
                <w:color w:val="auto"/>
                <w:kern w:val="0"/>
                <w:sz w:val="18"/>
                <w:szCs w:val="18"/>
                <w:lang w:val="zh-CN" w:eastAsia="zh-CN"/>
              </w:rPr>
              <w:t>重庆市人民政府转发〈中共重庆市委宣传部、重庆市司法局关于开展法治宣传教育的第八个五年规划（20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《中共重庆市南川区委</w:t>
            </w:r>
            <w:r>
              <w:rPr>
                <w:rFonts w:hint="eastAsia" w:ascii="Times New Roman" w:hAnsi="Times New Roman" w:eastAsia="宋体" w:cs="宋体"/>
                <w:color w:val="auto"/>
                <w:kern w:val="0"/>
                <w:sz w:val="18"/>
                <w:szCs w:val="18"/>
                <w:lang w:val="en-US" w:eastAsia="zh-CN"/>
              </w:rPr>
              <w:t xml:space="preserve"> 重庆市南川区人民政府转发</w:t>
            </w:r>
            <w:r>
              <w:rPr>
                <w:rFonts w:hint="eastAsia" w:ascii="Times New Roman" w:hAnsi="Times New Roman" w:eastAsia="宋体" w:cs="宋体"/>
                <w:color w:val="auto"/>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auto"/>
                <w:kern w:val="0"/>
                <w:sz w:val="18"/>
                <w:szCs w:val="18"/>
                <w:lang w:val="en-US" w:eastAsia="zh-CN"/>
              </w:rPr>
              <w:t>的通知</w:t>
            </w:r>
            <w:r>
              <w:rPr>
                <w:rFonts w:hint="eastAsia" w:ascii="Times New Roman" w:hAnsi="Times New Roman" w:eastAsia="宋体" w:cs="宋体"/>
                <w:color w:val="auto"/>
                <w:kern w:val="0"/>
                <w:sz w:val="18"/>
                <w:szCs w:val="18"/>
                <w:lang w:val="zh-CN" w:eastAsia="zh-CN"/>
              </w:rPr>
              <w:t>》</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keepNext w:val="0"/>
              <w:keepLines w:val="0"/>
              <w:widowControl w:val="0"/>
              <w:suppressLineNumbers w:val="0"/>
              <w:overflowPunct w:val="0"/>
              <w:snapToGrid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赵晓莉）</w:t>
            </w:r>
          </w:p>
        </w:tc>
        <w:tc>
          <w:tcPr>
            <w:tcW w:w="750" w:type="dxa"/>
            <w:tcBorders>
              <w:tl2br w:val="nil"/>
              <w:tr2bl w:val="nil"/>
            </w:tcBorders>
            <w:tcMar>
              <w:top w:w="15" w:type="dxa"/>
              <w:left w:w="15" w:type="dxa"/>
              <w:right w:w="15" w:type="dxa"/>
            </w:tcMar>
            <w:vAlign w:val="center"/>
          </w:tcPr>
          <w:p>
            <w:pPr>
              <w:keepNext w:val="0"/>
              <w:keepLines w:val="0"/>
              <w:widowControl w:val="0"/>
              <w:suppressLineNumbers w:val="0"/>
              <w:overflowPunct w:val="0"/>
              <w:snapToGrid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大有司法所、古花镇平安建设办</w:t>
            </w:r>
          </w:p>
        </w:tc>
        <w:tc>
          <w:tcPr>
            <w:tcW w:w="962" w:type="dxa"/>
            <w:vAlign w:val="center"/>
          </w:tcPr>
          <w:p>
            <w:pPr>
              <w:keepNext w:val="0"/>
              <w:keepLines w:val="0"/>
              <w:widowControl w:val="0"/>
              <w:suppressLineNumbers w:val="0"/>
              <w:overflowPunct w:val="0"/>
              <w:snapToGrid w:val="0"/>
              <w:spacing w:before="0" w:beforeAutospacing="0" w:after="0" w:afterAutospacing="0"/>
              <w:ind w:left="0" w:leftChars="0" w:right="0" w:rightChars="0"/>
              <w:jc w:val="center"/>
              <w:rPr>
                <w:rFonts w:hint="default" w:ascii="Calibri" w:hAnsi="Calibri" w:eastAsia="宋体" w:cs="Times New Roman"/>
                <w:kern w:val="2"/>
                <w:sz w:val="21"/>
                <w:szCs w:val="21"/>
                <w:lang w:val="en-US" w:eastAsia="zh-CN" w:bidi="ar-SA"/>
              </w:rPr>
            </w:pPr>
            <w:r>
              <w:rPr>
                <w:rFonts w:hint="eastAsia" w:ascii="宋体" w:hAnsi="宋体" w:eastAsia="宋体" w:cs="宋体"/>
                <w:b w:val="0"/>
                <w:kern w:val="0"/>
                <w:sz w:val="18"/>
                <w:szCs w:val="18"/>
                <w:lang w:val="en-US" w:eastAsia="zh-CN" w:bidi="ar"/>
              </w:rPr>
              <w:t>古花镇人民政府</w:t>
            </w:r>
          </w:p>
        </w:tc>
        <w:tc>
          <w:tcPr>
            <w:tcW w:w="260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left"/>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r>
              <w:rPr>
                <w:rFonts w:hint="eastAsia" w:ascii="Times New Roman" w:hAnsi="Times New Roman" w:eastAsia="宋体" w:cs="宋体"/>
                <w:color w:val="auto"/>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73"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p>
        </w:tc>
        <w:tc>
          <w:tcPr>
            <w:tcW w:w="506"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5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p>
        </w:tc>
        <w:tc>
          <w:tcPr>
            <w:tcW w:w="910"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5</w:t>
            </w:r>
          </w:p>
        </w:tc>
        <w:tc>
          <w:tcPr>
            <w:tcW w:w="60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其他</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推广法治</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《中共中央</w:t>
            </w:r>
            <w:r>
              <w:rPr>
                <w:rFonts w:hint="eastAsia" w:ascii="Times New Roman" w:hAnsi="Times New Roman" w:eastAsia="宋体" w:cs="宋体"/>
                <w:color w:val="auto"/>
                <w:kern w:val="0"/>
                <w:sz w:val="18"/>
                <w:szCs w:val="18"/>
                <w:lang w:val="en-US" w:eastAsia="zh-CN"/>
              </w:rPr>
              <w:t xml:space="preserve"> </w:t>
            </w:r>
            <w:r>
              <w:rPr>
                <w:rFonts w:hint="eastAsia" w:ascii="Times New Roman" w:hAnsi="Times New Roman" w:eastAsia="宋体" w:cs="宋体"/>
                <w:color w:val="auto"/>
                <w:kern w:val="0"/>
                <w:sz w:val="18"/>
                <w:szCs w:val="18"/>
                <w:lang w:val="zh-CN" w:eastAsia="zh-CN"/>
              </w:rPr>
              <w:t>国务院转发〈中央宣传部、司法部关于开展法治宣传教育的第八个五年规划（20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《中共重庆市委</w:t>
            </w:r>
            <w:r>
              <w:rPr>
                <w:rFonts w:hint="eastAsia" w:ascii="Times New Roman" w:hAnsi="Times New Roman" w:eastAsia="宋体" w:cs="宋体"/>
                <w:color w:val="auto"/>
                <w:kern w:val="0"/>
                <w:sz w:val="18"/>
                <w:szCs w:val="18"/>
                <w:lang w:val="en-US" w:eastAsia="zh-CN"/>
              </w:rPr>
              <w:t xml:space="preserve"> </w:t>
            </w:r>
            <w:bookmarkStart w:id="0" w:name="_GoBack"/>
            <w:bookmarkEnd w:id="0"/>
            <w:r>
              <w:rPr>
                <w:rFonts w:hint="eastAsia" w:ascii="Times New Roman" w:hAnsi="Times New Roman" w:eastAsia="宋体" w:cs="宋体"/>
                <w:color w:val="auto"/>
                <w:kern w:val="0"/>
                <w:sz w:val="18"/>
                <w:szCs w:val="18"/>
                <w:lang w:val="zh-CN" w:eastAsia="zh-CN"/>
              </w:rPr>
              <w:t>重庆市人民政府转发〈中共重庆市委宣传部、重庆市司法局关于开展法治宣传教育 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《中共重庆市南川区委</w:t>
            </w:r>
            <w:r>
              <w:rPr>
                <w:rFonts w:hint="eastAsia" w:ascii="Times New Roman" w:hAnsi="Times New Roman" w:eastAsia="宋体" w:cs="宋体"/>
                <w:color w:val="auto"/>
                <w:kern w:val="0"/>
                <w:sz w:val="18"/>
                <w:szCs w:val="18"/>
                <w:lang w:val="en-US" w:eastAsia="zh-CN"/>
              </w:rPr>
              <w:t xml:space="preserve"> 重庆市南川区人民政府转发</w:t>
            </w:r>
            <w:r>
              <w:rPr>
                <w:rFonts w:hint="eastAsia" w:ascii="Times New Roman" w:hAnsi="Times New Roman" w:eastAsia="宋体" w:cs="宋体"/>
                <w:color w:val="auto"/>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auto"/>
                <w:kern w:val="0"/>
                <w:sz w:val="18"/>
                <w:szCs w:val="18"/>
                <w:lang w:val="en-US" w:eastAsia="zh-CN"/>
              </w:rPr>
              <w:t>的通知</w:t>
            </w:r>
            <w:r>
              <w:rPr>
                <w:rFonts w:hint="eastAsia" w:ascii="Times New Roman" w:hAnsi="Times New Roman" w:eastAsia="宋体" w:cs="宋体"/>
                <w:color w:val="auto"/>
                <w:kern w:val="0"/>
                <w:sz w:val="18"/>
                <w:szCs w:val="18"/>
                <w:lang w:val="zh-CN" w:eastAsia="zh-CN"/>
              </w:rPr>
              <w:t>》</w:t>
            </w:r>
          </w:p>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keepNext w:val="0"/>
              <w:keepLines w:val="0"/>
              <w:widowControl w:val="0"/>
              <w:suppressLineNumbers w:val="0"/>
              <w:overflowPunct w:val="0"/>
              <w:snapToGrid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赵晓莉）</w:t>
            </w:r>
          </w:p>
        </w:tc>
        <w:tc>
          <w:tcPr>
            <w:tcW w:w="750" w:type="dxa"/>
            <w:tcBorders>
              <w:tl2br w:val="nil"/>
              <w:tr2bl w:val="nil"/>
            </w:tcBorders>
            <w:tcMar>
              <w:top w:w="15" w:type="dxa"/>
              <w:left w:w="15" w:type="dxa"/>
              <w:right w:w="15" w:type="dxa"/>
            </w:tcMar>
            <w:vAlign w:val="center"/>
          </w:tcPr>
          <w:p>
            <w:pPr>
              <w:keepNext w:val="0"/>
              <w:keepLines w:val="0"/>
              <w:widowControl w:val="0"/>
              <w:suppressLineNumbers w:val="0"/>
              <w:overflowPunct w:val="0"/>
              <w:snapToGrid w:val="0"/>
              <w:spacing w:before="0" w:beforeAutospacing="0" w:after="0" w:afterAutospacing="0"/>
              <w:ind w:left="0" w:leftChars="0" w:right="0" w:rightChars="0"/>
              <w:jc w:val="center"/>
              <w:rPr>
                <w:rFonts w:hint="eastAsia"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
              </w:rPr>
              <w:t>大有司法所、古花镇平安建设办</w:t>
            </w:r>
          </w:p>
        </w:tc>
        <w:tc>
          <w:tcPr>
            <w:tcW w:w="962" w:type="dxa"/>
            <w:vAlign w:val="center"/>
          </w:tcPr>
          <w:p>
            <w:pPr>
              <w:keepNext w:val="0"/>
              <w:keepLines w:val="0"/>
              <w:widowControl w:val="0"/>
              <w:suppressLineNumbers w:val="0"/>
              <w:overflowPunct w:val="0"/>
              <w:snapToGrid w:val="0"/>
              <w:spacing w:before="0" w:beforeAutospacing="0" w:after="0" w:afterAutospacing="0"/>
              <w:ind w:left="0" w:leftChars="0" w:right="0" w:rightChars="0"/>
              <w:jc w:val="center"/>
              <w:rPr>
                <w:rFonts w:hint="default" w:ascii="Calibri" w:hAnsi="Calibri" w:eastAsia="宋体" w:cs="Times New Roman"/>
                <w:kern w:val="2"/>
                <w:sz w:val="21"/>
                <w:szCs w:val="21"/>
                <w:lang w:val="en-US" w:eastAsia="zh-CN" w:bidi="ar-SA"/>
              </w:rPr>
            </w:pPr>
            <w:r>
              <w:rPr>
                <w:rFonts w:hint="eastAsia" w:ascii="宋体" w:hAnsi="宋体" w:eastAsia="宋体" w:cs="宋体"/>
                <w:b w:val="0"/>
                <w:kern w:val="0"/>
                <w:sz w:val="18"/>
                <w:szCs w:val="18"/>
                <w:lang w:val="en-US" w:eastAsia="zh-CN" w:bidi="ar"/>
              </w:rPr>
              <w:t>古花镇人民政府</w:t>
            </w:r>
          </w:p>
        </w:tc>
        <w:tc>
          <w:tcPr>
            <w:tcW w:w="2609"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left"/>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r>
              <w:rPr>
                <w:rFonts w:hint="eastAsia" w:ascii="Times New Roman" w:hAnsi="Times New Roman" w:eastAsia="宋体" w:cs="宋体"/>
                <w:color w:val="auto"/>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73"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p>
        </w:tc>
        <w:tc>
          <w:tcPr>
            <w:tcW w:w="506"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57"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p>
        </w:tc>
        <w:tc>
          <w:tcPr>
            <w:tcW w:w="910" w:type="dxa"/>
            <w:tcBorders>
              <w:tl2br w:val="nil"/>
              <w:tr2bl w:val="nil"/>
            </w:tcBorders>
            <w:tcMar>
              <w:top w:w="15" w:type="dxa"/>
              <w:left w:w="15" w:type="dxa"/>
              <w:right w:w="15" w:type="dxa"/>
            </w:tcMar>
            <w:vAlign w:val="center"/>
          </w:tcPr>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p>
          <w:p>
            <w:pPr>
              <w:keepNext w:val="0"/>
              <w:keepLines w:val="0"/>
              <w:suppressLineNumbers w:val="0"/>
              <w:overflowPunct w:val="0"/>
              <w:snapToGrid w:val="0"/>
              <w:spacing w:before="0" w:beforeAutospacing="0" w:after="0" w:afterAutospacing="0"/>
              <w:ind w:left="0" w:right="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YzgxNjdhM2MyZTU0MjQ5ZjQ0ZGMxOWVkY2ExNzAifQ=="/>
    <w:docVar w:name="KSO_WPS_MARK_KEY" w:val="f7de1d11-88a0-41a7-94df-851aeedcb6fa"/>
  </w:docVars>
  <w:rsids>
    <w:rsidRoot w:val="0052371F"/>
    <w:rsid w:val="0052371F"/>
    <w:rsid w:val="0E1421A8"/>
    <w:rsid w:val="22164BAE"/>
    <w:rsid w:val="2BC977A3"/>
    <w:rsid w:val="30110DE2"/>
    <w:rsid w:val="360D26F5"/>
    <w:rsid w:val="437217FE"/>
    <w:rsid w:val="489B7CA3"/>
    <w:rsid w:val="4CB91D57"/>
    <w:rsid w:val="5FFB345A"/>
    <w:rsid w:val="7DB346E3"/>
    <w:rsid w:val="FAD7164F"/>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1194</Words>
  <Characters>1235</Characters>
  <Lines>1</Lines>
  <Paragraphs>1</Paragraphs>
  <ScaleCrop>false</ScaleCrop>
  <LinksUpToDate>false</LinksUpToDate>
  <CharactersWithSpaces>2012</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古花乡系统管理员[ghx]</cp:lastModifiedBy>
  <dcterms:modified xsi:type="dcterms:W3CDTF">2013-03-11T07:37:48Z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y fmtid="{D5CDD505-2E9C-101B-9397-08002B2CF9AE}" pid="3" name="ICV">
    <vt:lpwstr>27CDE5B1053F43E6A5CA928CEEEFEC79_13</vt:lpwstr>
  </property>
</Properties>
</file>