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1"/>
        <w:gridCol w:w="696"/>
        <w:gridCol w:w="1171"/>
        <w:gridCol w:w="2129"/>
        <w:gridCol w:w="2992"/>
        <w:gridCol w:w="549"/>
        <w:gridCol w:w="630"/>
        <w:gridCol w:w="750"/>
        <w:gridCol w:w="962"/>
        <w:gridCol w:w="1794"/>
        <w:gridCol w:w="752"/>
        <w:gridCol w:w="587"/>
        <w:gridCol w:w="722"/>
        <w:gridCol w:w="600"/>
        <w:gridCol w:w="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43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公开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5"/>
                <w:szCs w:val="15"/>
              </w:rPr>
              <w:t>主体</w:t>
            </w:r>
          </w:p>
        </w:tc>
        <w:tc>
          <w:tcPr>
            <w:tcW w:w="1794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20"/>
              </w:rPr>
              <w:t>公开渠道和载体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公开对象</w:t>
            </w: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公开方式</w:t>
            </w:r>
          </w:p>
        </w:tc>
        <w:tc>
          <w:tcPr>
            <w:tcW w:w="5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43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20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全社会</w:t>
            </w:r>
          </w:p>
        </w:tc>
        <w:tc>
          <w:tcPr>
            <w:tcW w:w="5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群体</w:t>
            </w:r>
          </w:p>
        </w:tc>
        <w:tc>
          <w:tcPr>
            <w:tcW w:w="7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主动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请</w:t>
            </w:r>
          </w:p>
        </w:tc>
        <w:tc>
          <w:tcPr>
            <w:tcW w:w="5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5"/>
                <w:szCs w:val="15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4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5"/>
                <w:szCs w:val="15"/>
              </w:rPr>
              <w:t xml:space="preserve"> 1</w:t>
            </w:r>
          </w:p>
        </w:tc>
        <w:tc>
          <w:tcPr>
            <w:tcW w:w="6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周敬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合溪镇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人民政府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4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周敬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2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  <w:lang w:val="en-US" w:eastAsia="zh-CN"/>
              </w:rPr>
              <w:t>合溪镇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5"/>
                <w:szCs w:val="15"/>
              </w:rPr>
              <w:t>人民政府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15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5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5"/>
                <w:szCs w:val="15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WNiZWU3NzdhNGU5NmE2ZTFhNDc0NmExYWU3MWIifQ=="/>
  </w:docVars>
  <w:rsids>
    <w:rsidRoot w:val="0052371F"/>
    <w:rsid w:val="0052371F"/>
    <w:rsid w:val="01BC5231"/>
    <w:rsid w:val="0E1421A8"/>
    <w:rsid w:val="149219B5"/>
    <w:rsid w:val="19AF0ACC"/>
    <w:rsid w:val="26BC17D3"/>
    <w:rsid w:val="292B4B1F"/>
    <w:rsid w:val="32B101D7"/>
    <w:rsid w:val="3C98682F"/>
    <w:rsid w:val="409D7AFD"/>
    <w:rsid w:val="482420C4"/>
    <w:rsid w:val="5AD75D8C"/>
    <w:rsid w:val="5DC227BD"/>
    <w:rsid w:val="63604804"/>
    <w:rsid w:val="6B770087"/>
    <w:rsid w:val="7EF5ADA6"/>
    <w:rsid w:val="FAD7164F"/>
    <w:rsid w:val="FF9F9992"/>
    <w:rsid w:val="FFD7F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367</Characters>
  <Lines>24</Lines>
  <Paragraphs>7</Paragraphs>
  <TotalTime>3</TotalTime>
  <ScaleCrop>false</ScaleCrop>
  <LinksUpToDate>false</LinksUpToDate>
  <CharactersWithSpaces>1351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2023-10-14T06:18:00Z</dcterms:created>
  <dc:creator>Administrator</dc:creator>
  <cp:lastModifiedBy>user</cp:lastModifiedBy>
  <cp:lastPrinted>2024-01-15T23:29:00Z</cp:lastPrinted>
  <dcterms:modified xsi:type="dcterms:W3CDTF">2026-01-22T16:05:46Z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447EF7706ACE44A3A230BB27A6BDD6E5_13</vt:lpwstr>
  </property>
  <property fmtid="{D5CDD505-2E9C-101B-9397-08002B2CF9AE}" pid="4" name="KSOTemplateDocerSaveRecord">
    <vt:lpwstr>eyJoZGlkIjoiZjNmMGIxYzU2MDczYWY0NjY5NTIwNjkyZGY5MTc3ZmQiLCJ1c2VySWQiOiIzMjI3OTcwNDkifQ==</vt:lpwstr>
  </property>
</Properties>
</file>