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C9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金山镇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涉农补贴领域</w:t>
      </w:r>
    </w:p>
    <w:p w14:paraId="373C2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 w14:paraId="4437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1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94"/>
        <w:gridCol w:w="451"/>
        <w:gridCol w:w="801"/>
        <w:gridCol w:w="1186"/>
        <w:gridCol w:w="2069"/>
        <w:gridCol w:w="1084"/>
        <w:gridCol w:w="472"/>
        <w:gridCol w:w="562"/>
        <w:gridCol w:w="721"/>
        <w:gridCol w:w="1960"/>
        <w:gridCol w:w="466"/>
        <w:gridCol w:w="431"/>
        <w:gridCol w:w="379"/>
        <w:gridCol w:w="419"/>
        <w:gridCol w:w="400"/>
      </w:tblGrid>
      <w:tr w14:paraId="63C8A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78" w:hRule="atLeast"/>
          <w:tblHeader/>
          <w:jc w:val="center"/>
        </w:trPr>
        <w:tc>
          <w:tcPr>
            <w:tcW w:w="39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5D1E2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25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785B9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18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11E6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 w14:paraId="7796F67A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06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ECE9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08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678F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7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F4BC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责任领导</w:t>
            </w:r>
          </w:p>
        </w:tc>
        <w:tc>
          <w:tcPr>
            <w:tcW w:w="56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2CCC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责任单位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0ABF4"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196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2134C1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897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609FC7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79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07BF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3FEF7"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 w14:paraId="4952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678" w:hRule="atLeast"/>
          <w:tblHeader/>
          <w:jc w:val="center"/>
        </w:trPr>
        <w:tc>
          <w:tcPr>
            <w:tcW w:w="39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FAC26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3F1CE0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一级事项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388E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二级事项</w:t>
            </w:r>
          </w:p>
        </w:tc>
        <w:tc>
          <w:tcPr>
            <w:tcW w:w="118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AFE8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06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13501C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D6D68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D63BD8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3E007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2FAE1">
            <w:pPr>
              <w:widowControl/>
              <w:jc w:val="left"/>
            </w:pPr>
          </w:p>
        </w:tc>
        <w:tc>
          <w:tcPr>
            <w:tcW w:w="196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65CD2F"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B55B9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991F3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特定群体</w:t>
            </w:r>
          </w:p>
        </w:tc>
        <w:tc>
          <w:tcPr>
            <w:tcW w:w="3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B9BBB4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4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AE731E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依申请</w:t>
            </w: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6901D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 w14:paraId="6A569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808" w:hRule="atLeast"/>
          <w:jc w:val="center"/>
        </w:trPr>
        <w:tc>
          <w:tcPr>
            <w:tcW w:w="3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93FD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59D9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耕地建设与利用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D2F39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耕地地力保护和种粮大户补贴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DBE90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政策依据。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申请指南：补贴对象、补贴范围、补贴标准、申请程</w:t>
            </w:r>
          </w:p>
          <w:p w14:paraId="6ACC5B3E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序、申请材料、咨询电话、受理单位等。</w:t>
            </w:r>
          </w:p>
          <w:p w14:paraId="2C5F0EA4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补贴结果。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监督渠道：举报电话、地址等。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ECE99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zh-CN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《财政部农业农村部关于印发耕地建设与利用资金管理办法的通知》（财农〔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〕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号）、《财政部农业部关于全面推开农业三项补贴改革工作的通知》（财农〔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2016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〕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号）、《重庆市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年耕地地力保护补贴工作实施方案》（渝农发〔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〕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77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号）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C690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4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4185F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杨皓吉</w:t>
            </w:r>
          </w:p>
        </w:tc>
        <w:tc>
          <w:tcPr>
            <w:tcW w:w="5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15F6E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产业发展服务中心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FD80C"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重庆市南川区金山镇人民政府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05C9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■政府网站■公共服务中心（政务公开专区）■社区/企事业单位/村公示栏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（电子屏）</w:t>
            </w:r>
          </w:p>
        </w:tc>
        <w:tc>
          <w:tcPr>
            <w:tcW w:w="4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A35160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B8B4A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5AFE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201C7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8104E9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14A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808" w:hRule="atLeast"/>
          <w:jc w:val="center"/>
        </w:trPr>
        <w:tc>
          <w:tcPr>
            <w:tcW w:w="3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F4ACF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31433C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农业产业发展资金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4ADD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农机购置与应用补贴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6FEF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政策依据。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申请指南：补贴对象、补贴范围、补贴标准、申请程</w:t>
            </w:r>
          </w:p>
          <w:p w14:paraId="048AECE2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序、申请材料、咨询电话、受理单位等。</w:t>
            </w:r>
          </w:p>
          <w:p w14:paraId="6426EDAA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补贴结果。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监督渠道：举报电话、地址等。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954188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《中华人民共和国农业机械化促进法》（中华人民共和国主席令第十六号）、《财政部农业农村部关于印发农业相关转移支付资金管理办法的通知》（财农〔2023〕11号）、《重庆市2024—2026年农机购置与应用补贴实施方案》（渝农发〔2024〕145号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58524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4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29EDE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杨皓吉</w:t>
            </w:r>
          </w:p>
        </w:tc>
        <w:tc>
          <w:tcPr>
            <w:tcW w:w="5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39DF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产业发展服务中心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9D97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重庆市南川区金山镇人民政府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20DE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■政府网站■公共服务中心（政务公开专区）■社区/企事业单位/村公示栏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（电子屏）</w:t>
            </w:r>
          </w:p>
        </w:tc>
        <w:tc>
          <w:tcPr>
            <w:tcW w:w="4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0A5E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1261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FD46A4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DD52C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6000D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7C4D3C66"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1C25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808" w:hRule="atLeast"/>
          <w:jc w:val="center"/>
        </w:trPr>
        <w:tc>
          <w:tcPr>
            <w:tcW w:w="3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E6A9C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3434A8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农业防灾减灾资金（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动物防疫补助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C827D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强制扑杀和销毁补助、养殖环节无害化处理补助、强制免疫补助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CD06F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政策依据。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申请指南：补贴对象、补贴范围、补贴标准、申请程</w:t>
            </w:r>
          </w:p>
          <w:p w14:paraId="3F1F5D3B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序、申请材料、咨询电话、受理单位等。</w:t>
            </w:r>
          </w:p>
          <w:p w14:paraId="4E8F760F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补贴结果。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监督渠道：举报电话、地址等。。</w:t>
            </w:r>
          </w:p>
          <w:p w14:paraId="1C66BF3C"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CD7A7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《中华人民共和国动物防疫法》、《财政部农业农村部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" w:eastAsia="zh-CN"/>
              </w:rPr>
              <w:t>水利部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关于印发农业防灾减灾和水利救灾资金管理办法的通知》（财农〔202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3〕1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3号）</w:t>
            </w: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73592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4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2F8E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杨皓吉</w:t>
            </w:r>
          </w:p>
        </w:tc>
        <w:tc>
          <w:tcPr>
            <w:tcW w:w="5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0397D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产业发展服务中心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80BBD">
            <w:pPr>
              <w:widowControl/>
              <w:spacing w:line="300" w:lineRule="exact"/>
              <w:jc w:val="center"/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重庆市南川区金山镇人民政府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82A7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■政府网站■公共服务中心（政务公开专区）■社区/企事业单位/村公示栏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（电子屏）</w:t>
            </w:r>
          </w:p>
        </w:tc>
        <w:tc>
          <w:tcPr>
            <w:tcW w:w="4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DE836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2EDC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DAD3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48EA9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387D9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0589B0D4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789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818" w:hRule="atLeast"/>
          <w:jc w:val="center"/>
        </w:trPr>
        <w:tc>
          <w:tcPr>
            <w:tcW w:w="39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0E08E1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D06B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农业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经营主体能力提升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资金</w:t>
            </w:r>
          </w:p>
        </w:tc>
        <w:tc>
          <w:tcPr>
            <w:tcW w:w="80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C82E0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  <w:t>高素质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农民培育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D5F405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政策依据。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申请指南：补贴对象、补贴范围、补贴标准、申请程</w:t>
            </w:r>
          </w:p>
          <w:p w14:paraId="3CE81053">
            <w:pPr>
              <w:widowControl/>
              <w:spacing w:line="30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序、申请材料、咨询电话、受理单位等。</w:t>
            </w:r>
          </w:p>
          <w:p w14:paraId="28DD95A6">
            <w:pPr>
              <w:widowControl/>
              <w:numPr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补贴结果。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监督渠道：举报电话、地址等。</w:t>
            </w:r>
          </w:p>
        </w:tc>
        <w:tc>
          <w:tcPr>
            <w:tcW w:w="206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8B81C5">
            <w:pPr>
              <w:widowControl/>
              <w:spacing w:line="300" w:lineRule="exact"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《财政部 农业农村部 关 于 印 发 农 业 相关转移支付资金管理办法的通知》（财农〔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2023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〕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 xml:space="preserve">11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号）、《重庆市农业农村委 员 会 关 于 做 好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 xml:space="preserve">2024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年高素质农民培育工作的通知》（渝农办发〔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〕</w:t>
            </w:r>
            <w:r>
              <w:rPr>
                <w:rFonts w:hint="default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 xml:space="preserve">63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号）</w:t>
            </w:r>
          </w:p>
          <w:p w14:paraId="1F93452B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2302E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47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74537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杨皓吉</w:t>
            </w:r>
          </w:p>
        </w:tc>
        <w:tc>
          <w:tcPr>
            <w:tcW w:w="5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8A331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产业发展服务中心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10DD8">
            <w:pPr>
              <w:widowControl/>
              <w:spacing w:line="300" w:lineRule="exact"/>
              <w:jc w:val="center"/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重庆市南川区金山镇人民政府</w:t>
            </w:r>
          </w:p>
        </w:tc>
        <w:tc>
          <w:tcPr>
            <w:tcW w:w="196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E47EA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■政府网站■公共服务中心（政务公开专区）■社区/企事业单位/村公示栏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  <w:lang w:val="en-US" w:eastAsia="zh-CN"/>
              </w:rPr>
              <w:t>（电子屏）</w:t>
            </w:r>
          </w:p>
        </w:tc>
        <w:tc>
          <w:tcPr>
            <w:tcW w:w="4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8CC30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F54FB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7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36D732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CC6CF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046FB"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 w14:paraId="75A42A0A"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3D90306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GNiM2U3MDZmODk0Y2FiNzE4YmYyOTJkNjFjNDMifQ=="/>
  </w:docVars>
  <w:rsids>
    <w:rsidRoot w:val="0052371F"/>
    <w:rsid w:val="0052371F"/>
    <w:rsid w:val="01BC5231"/>
    <w:rsid w:val="0E1421A8"/>
    <w:rsid w:val="14CC73D7"/>
    <w:rsid w:val="25E219E2"/>
    <w:rsid w:val="284223E1"/>
    <w:rsid w:val="4C761A0A"/>
    <w:rsid w:val="59835FFD"/>
    <w:rsid w:val="5C895A76"/>
    <w:rsid w:val="5D2508FC"/>
    <w:rsid w:val="618B2499"/>
    <w:rsid w:val="658C6718"/>
    <w:rsid w:val="751FA022"/>
    <w:rsid w:val="89ED6BC5"/>
    <w:rsid w:val="EABFFD33"/>
    <w:rsid w:val="F7354A4E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1290</Words>
  <Characters>1347</Characters>
  <Lines>24</Lines>
  <Paragraphs>7</Paragraphs>
  <TotalTime>10</TotalTime>
  <ScaleCrop>false</ScaleCrop>
  <LinksUpToDate>false</LinksUpToDate>
  <CharactersWithSpaces>2604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 </cp:lastModifiedBy>
  <dcterms:modified xsi:type="dcterms:W3CDTF">2025-02-14T01:25:00Z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5B5EFE460C1D4B17A76F0DD47CCF2475_13</vt:lpwstr>
  </property>
  <property fmtid="{D5CDD505-2E9C-101B-9397-08002B2CF9AE}" pid="4" name="KSOTemplateDocerSaveRecord">
    <vt:lpwstr>eyJoZGlkIjoiZWIwZDgxMWJmYmUyZTNjYjZlMjhjOWJlY2FhNzM2ODUiLCJ1c2VySWQiOiIxMjQzMTkxNDI4In0=</vt:lpwstr>
  </property>
</Properties>
</file>