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木凉镇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6"/>
        <w:tblW w:w="16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685"/>
        <w:gridCol w:w="795"/>
        <w:gridCol w:w="1188"/>
        <w:gridCol w:w="2145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1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1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鲜思伟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综合行政执法大队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8" w:colLast="8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赵周莉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木凉镇人民政府</w:t>
            </w:r>
          </w:p>
        </w:tc>
        <w:tc>
          <w:tcPr>
            <w:tcW w:w="2145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bookmarkEnd w:id="0"/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ZGQwMDZjOTI5Y2IzOTc5ZmFmZTllNGI3YmQ0NjAifQ=="/>
    <w:docVar w:name="KSO_WPS_MARK_KEY" w:val="f7de1d11-88a0-41a7-94df-851aeedcb6fa"/>
  </w:docVars>
  <w:rsids>
    <w:rsidRoot w:val="0052371F"/>
    <w:rsid w:val="0052371F"/>
    <w:rsid w:val="0E1421A8"/>
    <w:rsid w:val="1B870C07"/>
    <w:rsid w:val="213351E0"/>
    <w:rsid w:val="22164BAE"/>
    <w:rsid w:val="2BC977A3"/>
    <w:rsid w:val="30110DE2"/>
    <w:rsid w:val="437217FE"/>
    <w:rsid w:val="4CB91D57"/>
    <w:rsid w:val="50A86B59"/>
    <w:rsid w:val="592819A2"/>
    <w:rsid w:val="5FFB345A"/>
    <w:rsid w:val="66257B70"/>
    <w:rsid w:val="721D1AD6"/>
    <w:rsid w:val="7C4A0480"/>
    <w:rsid w:val="7D7BC892"/>
    <w:rsid w:val="DE371366"/>
    <w:rsid w:val="FAD7164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1194</Words>
  <Characters>1235</Characters>
  <Lines>24</Lines>
  <Paragraphs>7</Paragraphs>
  <ScaleCrop>false</ScaleCrop>
  <LinksUpToDate>false</LinksUpToDate>
  <CharactersWithSpaces>2012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2023-10-14T14:18:00Z</dcterms:created>
  <dc:creator>Administrator</dc:creator>
  <cp:lastModifiedBy>木凉乡系统管理员[mlx]</cp:lastModifiedBy>
  <cp:lastPrinted>2025-02-12T09:32:00Z</cp:lastPrinted>
  <dcterms:modified xsi:type="dcterms:W3CDTF">2025-02-12T07:14:06Z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ECD8AAAD5CED9175EEF4AB67933D8BD9_43</vt:lpwstr>
  </property>
</Properties>
</file>