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鸣玉镇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卫生健康领域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shd w:val="clear" w:color="auto" w:fill="auto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方正书宋_GBK"/>
                <w:color w:val="000000"/>
                <w:kern w:val="0"/>
                <w:sz w:val="18"/>
                <w:szCs w:val="18"/>
              </w:rPr>
              <w:t xml:space="preserve"> 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行政许可类事项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再生育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  <w:lang w:val="zh-CN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【法律】《中华人民共和国人口与计划生育法》《重庆市人口与计划生育条例》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shd w:val="clear" w:color="auto" w:fill="auto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行政备案类事项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生育登记服务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法律法规和政策文件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【部门规章及规范性文件】《国家卫生健康委办公厅关于做好生育登记服务工作的指导意见》（国卫办指导发〔2016〕20号）</w:t>
            </w:r>
          </w:p>
        </w:tc>
        <w:tc>
          <w:tcPr>
            <w:tcW w:w="5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自信息形成或者变更之日起20个工作日内予以公开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陶勋科</w:t>
            </w:r>
          </w:p>
        </w:tc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  <w:t>教育卫生岗</w:t>
            </w:r>
          </w:p>
        </w:tc>
        <w:tc>
          <w:tcPr>
            <w:tcW w:w="96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eastAsia="zh-CN"/>
              </w:rPr>
              <w:t>鸣玉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iMDA0OTM4NDRlYzE3OGRkZGRhNTliMGY2NWU0ZmIifQ=="/>
  </w:docVars>
  <w:rsids>
    <w:rsidRoot w:val="0052371F"/>
    <w:rsid w:val="0052371F"/>
    <w:rsid w:val="01BC5231"/>
    <w:rsid w:val="0E1421A8"/>
    <w:rsid w:val="1057228B"/>
    <w:rsid w:val="43167338"/>
    <w:rsid w:val="5AD75D8C"/>
    <w:rsid w:val="5DC227BD"/>
    <w:rsid w:val="70D144E6"/>
    <w:rsid w:val="775E0D51"/>
    <w:rsid w:val="7F3DE455"/>
    <w:rsid w:val="FAD7164F"/>
    <w:rsid w:val="FBDFB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2023-10-14T06:18:00Z</dcterms:created>
  <dc:creator>Administrator</dc:creator>
  <cp:lastModifiedBy>六一</cp:lastModifiedBy>
  <cp:lastPrinted>2024-01-16T02:49:00Z</cp:lastPrinted>
  <dcterms:modified xsi:type="dcterms:W3CDTF">2025-02-13T08:59:08Z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DB5BC8EBFAF14697B0E579DBAACF629B_12</vt:lpwstr>
  </property>
</Properties>
</file>