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重庆市</w:t>
      </w:r>
      <w:r>
        <w:rPr>
          <w:rFonts w:hint="eastAsia" w:ascii="方正小标宋_GBK" w:hAnsi="方正小标宋_GBK" w:eastAsia="方正小标宋_GBK" w:cs="方正小标宋_GBK"/>
          <w:color w:val="000000"/>
          <w:kern w:val="0"/>
          <w:sz w:val="44"/>
          <w:szCs w:val="44"/>
          <w:lang w:eastAsia="zh-CN"/>
        </w:rPr>
        <w:t>南川</w:t>
      </w:r>
      <w:r>
        <w:rPr>
          <w:rFonts w:hint="eastAsia" w:ascii="方正小标宋_GBK" w:hAnsi="方正小标宋_GBK" w:eastAsia="方正小标宋_GBK" w:cs="方正小标宋_GBK"/>
          <w:color w:val="000000"/>
          <w:kern w:val="0"/>
          <w:sz w:val="44"/>
          <w:szCs w:val="44"/>
        </w:rPr>
        <w:t>区</w:t>
      </w:r>
      <w:r>
        <w:rPr>
          <w:rFonts w:hint="eastAsia" w:ascii="方正小标宋_GBK" w:hAnsi="方正小标宋_GBK" w:eastAsia="方正小标宋_GBK" w:cs="方正小标宋_GBK"/>
          <w:color w:val="000000"/>
          <w:sz w:val="44"/>
          <w:szCs w:val="44"/>
          <w:lang w:val="en-US" w:eastAsia="zh-CN"/>
        </w:rPr>
        <w:t>鸣玉镇</w:t>
      </w:r>
      <w:r>
        <w:rPr>
          <w:rFonts w:hint="eastAsia" w:ascii="方正小标宋_GBK" w:hAnsi="方正小标宋_GBK" w:eastAsia="方正小标宋_GBK" w:cs="方正小标宋_GBK"/>
          <w:color w:val="000000"/>
          <w:kern w:val="0"/>
          <w:sz w:val="44"/>
          <w:szCs w:val="44"/>
          <w:lang w:eastAsia="zh-CN"/>
        </w:rPr>
        <w:t>人民政府</w:t>
      </w:r>
      <w:r>
        <w:rPr>
          <w:rFonts w:hint="eastAsia" w:ascii="方正小标宋_GBK" w:hAnsi="方正小标宋_GBK" w:eastAsia="方正小标宋_GBK" w:cs="方正小标宋_GBK"/>
          <w:color w:val="000000"/>
          <w:kern w:val="0"/>
          <w:sz w:val="44"/>
          <w:szCs w:val="44"/>
        </w:rPr>
        <w:t>涉农补贴领域</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政务公开标准目录</w:t>
      </w:r>
      <w:r>
        <w:rPr>
          <w:rFonts w:hint="eastAsia" w:ascii="方正小标宋_GBK" w:hAnsi="方正小标宋_GBK" w:eastAsia="方正小标宋_GBK" w:cs="方正小标宋_GBK"/>
          <w:color w:val="000000"/>
          <w:kern w:val="0"/>
          <w:sz w:val="44"/>
          <w:szCs w:val="44"/>
          <w:lang w:eastAsia="zh-CN"/>
        </w:rPr>
        <w:t>（</w:t>
      </w:r>
      <w:r>
        <w:rPr>
          <w:rFonts w:hint="eastAsia" w:ascii="方正小标宋_GBK" w:hAnsi="方正小标宋_GBK" w:eastAsia="方正小标宋_GBK" w:cs="方正小标宋_GBK"/>
          <w:color w:val="000000"/>
          <w:kern w:val="0"/>
          <w:sz w:val="44"/>
          <w:szCs w:val="44"/>
          <w:lang w:val="en-US" w:eastAsia="zh-CN"/>
        </w:rPr>
        <w:t>2026年版</w:t>
      </w:r>
      <w:r>
        <w:rPr>
          <w:rFonts w:hint="eastAsia" w:ascii="方正小标宋_GBK" w:hAnsi="方正小标宋_GBK" w:eastAsia="方正小标宋_GBK" w:cs="方正小标宋_GBK"/>
          <w:color w:val="000000"/>
          <w:kern w:val="0"/>
          <w:sz w:val="44"/>
          <w:szCs w:val="44"/>
          <w:lang w:eastAsia="zh-CN"/>
        </w:rPr>
        <w:t>）</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方正小标宋_GBK" w:hAnsi="方正小标宋_GBK" w:eastAsia="方正小标宋_GBK" w:cs="方正小标宋_GBK"/>
          <w:color w:val="000000"/>
          <w:kern w:val="0"/>
          <w:sz w:val="44"/>
          <w:szCs w:val="44"/>
        </w:rPr>
      </w:pPr>
    </w:p>
    <w:tbl>
      <w:tblPr>
        <w:tblStyle w:val="4"/>
        <w:tblW w:w="15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525"/>
        <w:gridCol w:w="602"/>
        <w:gridCol w:w="1171"/>
        <w:gridCol w:w="2129"/>
        <w:gridCol w:w="3708"/>
        <w:gridCol w:w="1260"/>
        <w:gridCol w:w="690"/>
        <w:gridCol w:w="690"/>
        <w:gridCol w:w="750"/>
        <w:gridCol w:w="1394"/>
        <w:gridCol w:w="622"/>
        <w:gridCol w:w="573"/>
        <w:gridCol w:w="506"/>
        <w:gridCol w:w="557"/>
        <w:gridCol w:w="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bookmarkStart w:id="0" w:name="_GoBack"/>
            <w:r>
              <w:rPr>
                <w:rFonts w:hint="eastAsia" w:ascii="方正黑体_GBK" w:hAnsi="方正黑体_GBK" w:eastAsia="方正黑体_GBK" w:cs="方正黑体_GBK"/>
                <w:color w:val="000000"/>
                <w:sz w:val="21"/>
                <w:szCs w:val="21"/>
                <w:highlight w:val="none"/>
                <w:shd w:val="clear" w:color="auto" w:fill="auto"/>
              </w:rPr>
              <w:t>序号</w:t>
            </w:r>
          </w:p>
        </w:tc>
        <w:tc>
          <w:tcPr>
            <w:tcW w:w="177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公开事项</w:t>
            </w:r>
          </w:p>
        </w:tc>
        <w:tc>
          <w:tcPr>
            <w:tcW w:w="2129"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公开内容</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（要素）</w:t>
            </w:r>
          </w:p>
        </w:tc>
        <w:tc>
          <w:tcPr>
            <w:tcW w:w="3708"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公开依据</w:t>
            </w:r>
          </w:p>
        </w:tc>
        <w:tc>
          <w:tcPr>
            <w:tcW w:w="126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公开时限</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责任</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领导</w:t>
            </w:r>
          </w:p>
        </w:tc>
        <w:tc>
          <w:tcPr>
            <w:tcW w:w="690"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责任</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黑体_GBK" w:hAnsi="方正黑体_GBK" w:eastAsia="方正黑体_GBK" w:cs="方正黑体_GBK"/>
                <w:sz w:val="21"/>
                <w:szCs w:val="21"/>
                <w:highlight w:val="none"/>
                <w:shd w:val="clear" w:color="auto" w:fill="auto"/>
              </w:rPr>
            </w:pPr>
            <w:r>
              <w:rPr>
                <w:rFonts w:hint="eastAsia" w:ascii="方正黑体_GBK" w:hAnsi="方正黑体_GBK" w:eastAsia="方正黑体_GBK" w:cs="方正黑体_GBK"/>
                <w:b w:val="0"/>
                <w:bCs/>
                <w:color w:val="000000"/>
                <w:kern w:val="0"/>
                <w:sz w:val="21"/>
                <w:szCs w:val="21"/>
                <w:highlight w:val="none"/>
                <w:shd w:val="clear" w:color="auto" w:fill="auto"/>
              </w:rPr>
              <w:t>公开</w:t>
            </w:r>
            <w:r>
              <w:rPr>
                <w:rFonts w:hint="eastAsia" w:ascii="方正黑体_GBK" w:hAnsi="方正黑体_GBK" w:eastAsia="方正黑体_GBK" w:cs="方正黑体_GBK"/>
                <w:b w:val="0"/>
                <w:bCs/>
                <w:color w:val="000000"/>
                <w:kern w:val="0"/>
                <w:sz w:val="21"/>
                <w:szCs w:val="21"/>
                <w:highlight w:val="none"/>
                <w:shd w:val="clear" w:color="auto" w:fill="auto"/>
              </w:rPr>
              <w:br w:type="textWrapping"/>
            </w:r>
            <w:r>
              <w:rPr>
                <w:rFonts w:hint="eastAsia" w:ascii="方正黑体_GBK" w:hAnsi="方正黑体_GBK" w:eastAsia="方正黑体_GBK" w:cs="方正黑体_GBK"/>
                <w:b w:val="0"/>
                <w:bCs/>
                <w:color w:val="000000"/>
                <w:kern w:val="0"/>
                <w:sz w:val="21"/>
                <w:szCs w:val="21"/>
                <w:highlight w:val="none"/>
                <w:shd w:val="clear" w:color="auto" w:fill="auto"/>
              </w:rPr>
              <w:t>主体</w:t>
            </w:r>
          </w:p>
        </w:tc>
        <w:tc>
          <w:tcPr>
            <w:tcW w:w="1394" w:type="dxa"/>
            <w:vMerge w:val="restart"/>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公开渠道和载体</w:t>
            </w:r>
          </w:p>
        </w:tc>
        <w:tc>
          <w:tcPr>
            <w:tcW w:w="1195"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公开对象</w:t>
            </w:r>
          </w:p>
        </w:tc>
        <w:tc>
          <w:tcPr>
            <w:tcW w:w="1063" w:type="dxa"/>
            <w:gridSpan w:val="2"/>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公开方式</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center"/>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23" w:hRule="atLeast"/>
          <w:tblHeader/>
          <w:jc w:val="center"/>
        </w:trPr>
        <w:tc>
          <w:tcPr>
            <w:tcW w:w="525"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60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一级</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事项</w:t>
            </w:r>
          </w:p>
        </w:tc>
        <w:tc>
          <w:tcPr>
            <w:tcW w:w="1171"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二级</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事项</w:t>
            </w:r>
          </w:p>
        </w:tc>
        <w:tc>
          <w:tcPr>
            <w:tcW w:w="2129"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p>
        </w:tc>
        <w:tc>
          <w:tcPr>
            <w:tcW w:w="3708"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p>
        </w:tc>
        <w:tc>
          <w:tcPr>
            <w:tcW w:w="1260" w:type="dxa"/>
            <w:vMerge w:val="continue"/>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690"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hint="eastAsia" w:ascii="方正黑体_GBK" w:hAnsi="方正黑体_GBK" w:eastAsia="方正黑体_GBK" w:cs="方正黑体_GBK"/>
                <w:sz w:val="21"/>
                <w:szCs w:val="21"/>
                <w:highlight w:val="none"/>
                <w:shd w:val="clear" w:color="auto" w:fill="auto"/>
              </w:rPr>
            </w:pPr>
          </w:p>
        </w:tc>
        <w:tc>
          <w:tcPr>
            <w:tcW w:w="1394" w:type="dxa"/>
            <w:vMerge w:val="continue"/>
            <w:tcBorders>
              <w:tl2br w:val="nil"/>
              <w:tr2bl w:val="nil"/>
            </w:tcBorders>
            <w:tcMar>
              <w:top w:w="15" w:type="dxa"/>
              <w:left w:w="15" w:type="dxa"/>
              <w:right w:w="15" w:type="dxa"/>
            </w:tcMar>
            <w:vAlign w:val="center"/>
          </w:tcPr>
          <w:p>
            <w:pPr>
              <w:spacing w:line="310" w:lineRule="exact"/>
              <w:jc w:val="center"/>
              <w:rPr>
                <w:rFonts w:hint="eastAsia" w:ascii="方正黑体_GBK" w:hAnsi="方正黑体_GBK" w:eastAsia="方正黑体_GBK" w:cs="方正黑体_GBK"/>
                <w:color w:val="000000"/>
                <w:sz w:val="21"/>
                <w:szCs w:val="21"/>
                <w:highlight w:val="none"/>
                <w:shd w:val="clear" w:color="auto" w:fill="auto"/>
              </w:rPr>
            </w:pPr>
          </w:p>
        </w:tc>
        <w:tc>
          <w:tcPr>
            <w:tcW w:w="622"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全社会</w:t>
            </w:r>
          </w:p>
        </w:tc>
        <w:tc>
          <w:tcPr>
            <w:tcW w:w="573"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特定</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群体</w:t>
            </w:r>
          </w:p>
        </w:tc>
        <w:tc>
          <w:tcPr>
            <w:tcW w:w="506"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主动</w:t>
            </w:r>
          </w:p>
        </w:tc>
        <w:tc>
          <w:tcPr>
            <w:tcW w:w="557"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依申</w:t>
            </w:r>
          </w:p>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rPr>
              <w:t>请</w:t>
            </w:r>
          </w:p>
        </w:tc>
        <w:tc>
          <w:tcPr>
            <w:tcW w:w="534" w:type="dxa"/>
            <w:tcBorders>
              <w:tl2br w:val="nil"/>
              <w:tr2bl w:val="nil"/>
            </w:tcBorders>
            <w:tcMar>
              <w:top w:w="15" w:type="dxa"/>
              <w:left w:w="15" w:type="dxa"/>
              <w:right w:w="15" w:type="dxa"/>
            </w:tcMar>
            <w:vAlign w:val="center"/>
          </w:tcPr>
          <w:p>
            <w:pPr>
              <w:widowControl/>
              <w:spacing w:line="310" w:lineRule="exact"/>
              <w:jc w:val="center"/>
              <w:textAlignment w:val="top"/>
              <w:rPr>
                <w:rFonts w:hint="eastAsia" w:ascii="方正黑体_GBK" w:hAnsi="方正黑体_GBK" w:eastAsia="方正黑体_GBK" w:cs="方正黑体_GBK"/>
                <w:color w:val="000000"/>
                <w:sz w:val="21"/>
                <w:szCs w:val="21"/>
                <w:highlight w:val="none"/>
                <w:shd w:val="clear" w:color="auto" w:fill="auto"/>
              </w:rPr>
            </w:pPr>
            <w:r>
              <w:rPr>
                <w:rFonts w:hint="eastAsia" w:ascii="方正黑体_GBK" w:hAnsi="方正黑体_GBK" w:eastAsia="方正黑体_GBK" w:cs="方正黑体_GBK"/>
                <w:color w:val="000000"/>
                <w:sz w:val="21"/>
                <w:szCs w:val="21"/>
                <w:highlight w:val="none"/>
                <w:shd w:val="clear" w:color="auto" w:fill="auto"/>
                <w:lang w:eastAsia="zh-CN"/>
              </w:rPr>
              <w:t>乡镇</w:t>
            </w:r>
            <w:r>
              <w:rPr>
                <w:rFonts w:hint="eastAsia" w:ascii="方正黑体_GBK" w:hAnsi="方正黑体_GBK" w:eastAsia="方正黑体_GBK" w:cs="方正黑体_GBK"/>
                <w:color w:val="000000"/>
                <w:sz w:val="21"/>
                <w:szCs w:val="21"/>
                <w:highlight w:val="none"/>
                <w:shd w:val="clear" w:color="auto" w:fill="auto"/>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5112"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耕地建设与利用</w:t>
            </w:r>
            <w:r>
              <w:rPr>
                <w:rFonts w:hint="default" w:ascii="Times New Roman" w:hAnsi="Times New Roman" w:eastAsia="方正仿宋_GBK" w:cs="Times New Roman"/>
                <w:color w:val="000000"/>
                <w:kern w:val="0"/>
                <w:szCs w:val="21"/>
                <w:highlight w:val="none"/>
                <w:shd w:val="clear" w:color="auto" w:fill="auto"/>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耕地地力保护和种粮大户补贴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1.政策依据。            2.申请指南：补贴对象、补贴范围、补贴标准、申请程序、申请材料、咨询电话、受理单位等。</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3.补贴结果。</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highlight w:val="none"/>
                <w:shd w:val="clear" w:color="auto" w:fill="auto"/>
                <w:lang w:val="zh-CN"/>
              </w:rPr>
            </w:pPr>
            <w:r>
              <w:rPr>
                <w:rFonts w:hint="default" w:ascii="Times New Roman" w:hAnsi="Times New Roman" w:eastAsia="方正仿宋_GBK" w:cs="Times New Roman"/>
                <w:color w:val="000000"/>
                <w:kern w:val="0"/>
                <w:szCs w:val="21"/>
                <w:highlight w:val="none"/>
                <w:shd w:val="clear" w:color="auto" w:fill="auto"/>
              </w:rPr>
              <w:t>《财政部 农业农村部关于印发</w:t>
            </w:r>
            <w:r>
              <w:rPr>
                <w:rFonts w:hint="default" w:ascii="Times New Roman" w:hAnsi="Times New Roman" w:eastAsia="方正仿宋_GBK" w:cs="Times New Roman"/>
                <w:color w:val="000000"/>
                <w:kern w:val="0"/>
                <w:szCs w:val="21"/>
                <w:highlight w:val="none"/>
                <w:shd w:val="clear" w:color="auto" w:fill="auto"/>
                <w:lang w:eastAsia="zh-CN"/>
              </w:rPr>
              <w:t>耕地建设与利用</w:t>
            </w:r>
            <w:r>
              <w:rPr>
                <w:rFonts w:hint="default" w:ascii="Times New Roman" w:hAnsi="Times New Roman" w:eastAsia="方正仿宋_GBK" w:cs="Times New Roman"/>
                <w:color w:val="000000"/>
                <w:kern w:val="0"/>
                <w:szCs w:val="21"/>
                <w:highlight w:val="none"/>
                <w:shd w:val="clear" w:color="auto" w:fill="auto"/>
              </w:rPr>
              <w:t>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2</w:t>
            </w:r>
            <w:r>
              <w:rPr>
                <w:rFonts w:hint="default" w:ascii="Times New Roman" w:hAnsi="Times New Roman" w:eastAsia="方正仿宋_GBK" w:cs="Times New Roman"/>
                <w:color w:val="000000"/>
                <w:kern w:val="0"/>
                <w:szCs w:val="21"/>
                <w:highlight w:val="none"/>
                <w:shd w:val="clear" w:color="auto" w:fill="auto"/>
              </w:rPr>
              <w:t>号）、《财政部农业部关于全面推开农业三项补贴改革工作的通知》(财农〔20</w:t>
            </w:r>
            <w:r>
              <w:rPr>
                <w:rFonts w:hint="eastAsia" w:ascii="Times New Roman" w:hAnsi="Times New Roman" w:eastAsia="方正仿宋_GBK" w:cs="Times New Roman"/>
                <w:color w:val="000000"/>
                <w:kern w:val="0"/>
                <w:szCs w:val="21"/>
                <w:highlight w:val="none"/>
                <w:shd w:val="clear" w:color="auto" w:fill="auto"/>
                <w:lang w:val="en-US" w:eastAsia="zh-CN"/>
              </w:rPr>
              <w:t>16</w:t>
            </w:r>
            <w:r>
              <w:rPr>
                <w:rFonts w:hint="default" w:ascii="Times New Roman" w:hAnsi="Times New Roman" w:eastAsia="方正仿宋_GBK" w:cs="Times New Roman"/>
                <w:color w:val="000000"/>
                <w:kern w:val="0"/>
                <w:szCs w:val="21"/>
                <w:highlight w:val="none"/>
                <w:shd w:val="clear" w:color="auto" w:fill="auto"/>
              </w:rPr>
              <w:t>〕26号)、《重庆市南川区农业农村委员会重庆市南川区财政局关于印发重庆市南川区2023年种粮大户补贴实施方案的通知》（南川农委发〔2023〕202号）</w:t>
            </w:r>
            <w:r>
              <w:rPr>
                <w:rFonts w:hint="default"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《重庆市南川区农业农村委员会重庆市南川区财政局关于印发2023年重庆市南川区耕地地力保护补贴工作实施方案的通知》（南川农委发〔2023〕94号）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highlight w:val="none"/>
                <w:shd w:val="clear" w:color="auto" w:fill="auto"/>
                <w:lang w:eastAsia="zh-CN"/>
              </w:rPr>
            </w:pPr>
            <w:r>
              <w:rPr>
                <w:rFonts w:hint="eastAsia" w:ascii="方正仿宋_GBK" w:hAnsi="方正仿宋_GBK" w:eastAsia="方正仿宋_GBK" w:cs="方正仿宋_GBK"/>
                <w:color w:val="auto"/>
                <w:sz w:val="21"/>
                <w:szCs w:val="21"/>
                <w:highlight w:val="none"/>
                <w:shd w:val="clear" w:color="auto" w:fill="auto"/>
                <w:lang w:eastAsia="zh-CN"/>
              </w:rPr>
              <w:t>张凤</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FF0000"/>
                <w:sz w:val="21"/>
                <w:szCs w:val="21"/>
                <w:highlight w:val="none"/>
                <w:shd w:val="clear" w:color="auto" w:fill="auto"/>
                <w:lang w:eastAsia="zh-CN"/>
              </w:rPr>
            </w:pPr>
            <w:r>
              <w:rPr>
                <w:rFonts w:hint="eastAsia" w:ascii="方正仿宋_GBK" w:hAnsi="方正仿宋_GBK" w:eastAsia="方正仿宋_GBK" w:cs="方正仿宋_GBK"/>
                <w:color w:val="auto"/>
                <w:sz w:val="21"/>
                <w:szCs w:val="21"/>
                <w:highlight w:val="none"/>
                <w:shd w:val="clear" w:color="auto" w:fill="auto"/>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鸣玉</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val="en-US" w:eastAsia="zh-CN"/>
              </w:rPr>
              <w:t>2</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农业</w:t>
            </w:r>
            <w:r>
              <w:rPr>
                <w:rFonts w:hint="default" w:ascii="Times New Roman" w:hAnsi="Times New Roman" w:eastAsia="方正仿宋_GBK" w:cs="Times New Roman"/>
                <w:color w:val="000000"/>
                <w:kern w:val="0"/>
                <w:szCs w:val="21"/>
                <w:highlight w:val="none"/>
                <w:shd w:val="clear" w:color="auto" w:fill="auto"/>
                <w:lang w:eastAsia="zh-CN"/>
              </w:rPr>
              <w:t>产业</w:t>
            </w:r>
            <w:r>
              <w:rPr>
                <w:rFonts w:hint="default" w:ascii="Times New Roman" w:hAnsi="Times New Roman" w:eastAsia="方正仿宋_GBK" w:cs="Times New Roman"/>
                <w:color w:val="000000"/>
                <w:kern w:val="0"/>
                <w:szCs w:val="21"/>
                <w:highlight w:val="none"/>
                <w:shd w:val="clear" w:color="auto" w:fill="auto"/>
              </w:rPr>
              <w:t>发展资金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农机购置</w:t>
            </w:r>
            <w:r>
              <w:rPr>
                <w:rFonts w:hint="default" w:ascii="Times New Roman" w:hAnsi="Times New Roman" w:eastAsia="方正仿宋_GBK" w:cs="Times New Roman"/>
                <w:color w:val="000000"/>
                <w:kern w:val="0"/>
                <w:szCs w:val="21"/>
                <w:highlight w:val="none"/>
                <w:shd w:val="clear" w:color="auto" w:fill="auto"/>
                <w:lang w:eastAsia="zh-CN"/>
              </w:rPr>
              <w:t>与应用</w:t>
            </w:r>
            <w:r>
              <w:rPr>
                <w:rFonts w:hint="default" w:ascii="Times New Roman" w:hAnsi="Times New Roman" w:eastAsia="方正仿宋_GBK" w:cs="Times New Roman"/>
                <w:color w:val="000000"/>
                <w:kern w:val="0"/>
                <w:szCs w:val="21"/>
                <w:highlight w:val="none"/>
                <w:shd w:val="clear" w:color="auto" w:fill="auto"/>
              </w:rPr>
              <w:t>补贴</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1.政策依据</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2.申请指南：包括补贴对象、补贴范围、补贴标准、申请程序、申请材料、咨询电话、受理单位、办理时限、联系方式等</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3.补贴结果</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《中华人民共和国农业机械化促进法》（中华人民共和国主席令第十六号）、《财政部 农业农村部关于印发农业相关转移支付资金管理办法的通知》（财农〔202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1</w:t>
            </w:r>
            <w:r>
              <w:rPr>
                <w:rFonts w:hint="default" w:ascii="Times New Roman" w:hAnsi="Times New Roman" w:eastAsia="方正仿宋_GBK" w:cs="Times New Roman"/>
                <w:color w:val="000000"/>
                <w:kern w:val="0"/>
                <w:szCs w:val="21"/>
                <w:highlight w:val="none"/>
                <w:shd w:val="clear" w:color="auto" w:fill="auto"/>
              </w:rPr>
              <w:t>号）、《重庆市2021—2023年农机购置补贴实施方案》（渝农规〔2021〕7号）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张凤</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鸣玉</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val="en-US" w:eastAsia="zh-CN"/>
              </w:rPr>
              <w:t>3</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农业防灾减灾资金（</w:t>
            </w:r>
            <w:r>
              <w:rPr>
                <w:rFonts w:hint="default" w:ascii="Times New Roman" w:hAnsi="Times New Roman" w:eastAsia="方正仿宋_GBK" w:cs="Times New Roman"/>
                <w:color w:val="000000"/>
                <w:kern w:val="0"/>
                <w:szCs w:val="21"/>
                <w:highlight w:val="none"/>
                <w:shd w:val="clear" w:color="auto" w:fill="auto"/>
              </w:rPr>
              <w:t>动物防疫补助</w:t>
            </w:r>
            <w:r>
              <w:rPr>
                <w:rFonts w:hint="default" w:ascii="Times New Roman" w:hAnsi="Times New Roman" w:eastAsia="方正仿宋_GBK" w:cs="Times New Roman"/>
                <w:color w:val="000000"/>
                <w:kern w:val="0"/>
                <w:szCs w:val="21"/>
                <w:highlight w:val="none"/>
                <w:shd w:val="clear" w:color="auto" w:fill="auto"/>
                <w:lang w:eastAsia="zh-CN"/>
              </w:rPr>
              <w:t>）</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强制扑杀和销毁补助、养殖环节无害化处理补助、强制免疫补助</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1.政策依据</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 xml:space="preserve">   </w:t>
            </w:r>
          </w:p>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2.申报指南：包括补助对象、补助范围、补助标准、申请程序、申请材料、咨询电话、受理单位、办理时限、联系方式等</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 xml:space="preserve">         </w:t>
            </w:r>
          </w:p>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3.补贴结果</w:t>
            </w:r>
            <w:r>
              <w:rPr>
                <w:rFonts w:hint="eastAsia" w:ascii="Times New Roman" w:hAnsi="Times New Roman" w:eastAsia="方正仿宋_GBK" w:cs="Times New Roman"/>
                <w:color w:val="000000"/>
                <w:kern w:val="0"/>
                <w:szCs w:val="21"/>
                <w:highlight w:val="none"/>
                <w:shd w:val="clear" w:color="auto" w:fill="auto"/>
                <w:lang w:eastAsia="zh-CN"/>
              </w:rPr>
              <w:t>。</w:t>
            </w:r>
            <w:r>
              <w:rPr>
                <w:rFonts w:hint="default" w:ascii="Times New Roman" w:hAnsi="Times New Roman" w:eastAsia="方正仿宋_GBK" w:cs="Times New Roman"/>
                <w:color w:val="000000"/>
                <w:kern w:val="0"/>
                <w:szCs w:val="21"/>
                <w:highlight w:val="none"/>
                <w:shd w:val="clear" w:color="auto" w:fill="auto"/>
              </w:rPr>
              <w:t xml:space="preserve">   </w:t>
            </w:r>
          </w:p>
          <w:p>
            <w:pPr>
              <w:widowControl/>
              <w:spacing w:line="300" w:lineRule="exact"/>
              <w:jc w:val="left"/>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4.监督渠道：包括举报电话、地址等。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《中华人民共和国动物防疫法》、《财政部 农业农村部</w:t>
            </w:r>
            <w:r>
              <w:rPr>
                <w:rFonts w:hint="default" w:ascii="Times New Roman" w:hAnsi="Times New Roman" w:eastAsia="方正仿宋_GBK" w:cs="Times New Roman"/>
                <w:color w:val="000000"/>
                <w:kern w:val="0"/>
                <w:szCs w:val="21"/>
                <w:highlight w:val="none"/>
                <w:shd w:val="clear" w:color="auto" w:fill="auto"/>
                <w:lang w:val="en"/>
              </w:rPr>
              <w:t xml:space="preserve"> </w:t>
            </w:r>
            <w:r>
              <w:rPr>
                <w:rFonts w:hint="default" w:ascii="Times New Roman" w:hAnsi="Times New Roman" w:eastAsia="方正仿宋_GBK" w:cs="Times New Roman"/>
                <w:color w:val="000000"/>
                <w:kern w:val="0"/>
                <w:szCs w:val="21"/>
                <w:highlight w:val="none"/>
                <w:shd w:val="clear" w:color="auto" w:fill="auto"/>
                <w:lang w:val="en" w:eastAsia="zh-CN"/>
              </w:rPr>
              <w:t>水利部</w:t>
            </w:r>
            <w:r>
              <w:rPr>
                <w:rFonts w:hint="default" w:ascii="Times New Roman" w:hAnsi="Times New Roman" w:eastAsia="方正仿宋_GBK" w:cs="Times New Roman"/>
                <w:color w:val="000000"/>
                <w:kern w:val="0"/>
                <w:szCs w:val="21"/>
                <w:highlight w:val="none"/>
                <w:shd w:val="clear" w:color="auto" w:fill="auto"/>
              </w:rPr>
              <w:t>关于印发农业</w:t>
            </w:r>
            <w:r>
              <w:rPr>
                <w:rFonts w:hint="default" w:ascii="Times New Roman" w:hAnsi="Times New Roman" w:eastAsia="方正仿宋_GBK" w:cs="Times New Roman"/>
                <w:color w:val="000000"/>
                <w:kern w:val="0"/>
                <w:szCs w:val="21"/>
                <w:highlight w:val="none"/>
                <w:shd w:val="clear" w:color="auto" w:fill="auto"/>
                <w:lang w:eastAsia="zh-CN"/>
              </w:rPr>
              <w:t>防灾减灾和水利救灾</w:t>
            </w:r>
            <w:r>
              <w:rPr>
                <w:rFonts w:hint="default" w:ascii="Times New Roman" w:hAnsi="Times New Roman" w:eastAsia="方正仿宋_GBK" w:cs="Times New Roman"/>
                <w:color w:val="000000"/>
                <w:kern w:val="0"/>
                <w:szCs w:val="21"/>
                <w:highlight w:val="none"/>
                <w:shd w:val="clear" w:color="auto" w:fill="auto"/>
              </w:rPr>
              <w:t>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张凤</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水利畜牧岗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鸣玉</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cantSplit/>
          <w:trHeight w:val="1978" w:hRule="atLeast"/>
          <w:jc w:val="center"/>
        </w:trPr>
        <w:tc>
          <w:tcPr>
            <w:tcW w:w="525"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val="en-US" w:eastAsia="zh-CN"/>
              </w:rPr>
              <w:t>4</w:t>
            </w:r>
          </w:p>
        </w:tc>
        <w:tc>
          <w:tcPr>
            <w:tcW w:w="602"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农业</w:t>
            </w:r>
            <w:r>
              <w:rPr>
                <w:rFonts w:hint="default" w:ascii="Times New Roman" w:hAnsi="Times New Roman" w:eastAsia="方正仿宋_GBK" w:cs="Times New Roman"/>
                <w:color w:val="000000"/>
                <w:kern w:val="0"/>
                <w:szCs w:val="21"/>
                <w:highlight w:val="none"/>
                <w:shd w:val="clear" w:color="auto" w:fill="auto"/>
                <w:lang w:eastAsia="zh-CN"/>
              </w:rPr>
              <w:t>经营主体能力提升</w:t>
            </w:r>
            <w:r>
              <w:rPr>
                <w:rFonts w:hint="default" w:ascii="Times New Roman" w:hAnsi="Times New Roman" w:eastAsia="方正仿宋_GBK" w:cs="Times New Roman"/>
                <w:color w:val="000000"/>
                <w:kern w:val="0"/>
                <w:szCs w:val="21"/>
                <w:highlight w:val="none"/>
                <w:shd w:val="clear" w:color="auto" w:fill="auto"/>
              </w:rPr>
              <w:t>资金</w:t>
            </w:r>
          </w:p>
        </w:tc>
        <w:tc>
          <w:tcPr>
            <w:tcW w:w="1171"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lang w:eastAsia="zh-CN"/>
              </w:rPr>
              <w:t>高素质</w:t>
            </w:r>
            <w:r>
              <w:rPr>
                <w:rFonts w:hint="default" w:ascii="Times New Roman" w:hAnsi="Times New Roman" w:eastAsia="方正仿宋_GBK" w:cs="Times New Roman"/>
                <w:color w:val="000000"/>
                <w:kern w:val="0"/>
                <w:szCs w:val="21"/>
                <w:highlight w:val="none"/>
                <w:shd w:val="clear" w:color="auto" w:fill="auto"/>
              </w:rPr>
              <w:t>农民培育</w:t>
            </w:r>
          </w:p>
        </w:tc>
        <w:tc>
          <w:tcPr>
            <w:tcW w:w="2129" w:type="dxa"/>
            <w:tcBorders>
              <w:tl2br w:val="nil"/>
              <w:tr2bl w:val="nil"/>
            </w:tcBorders>
            <w:tcMar>
              <w:top w:w="15" w:type="dxa"/>
              <w:left w:w="15" w:type="dxa"/>
              <w:right w:w="15" w:type="dxa"/>
            </w:tcMar>
            <w:vAlign w:val="center"/>
          </w:tcPr>
          <w:p>
            <w:pPr>
              <w:widowControl/>
              <w:spacing w:line="300" w:lineRule="exact"/>
              <w:jc w:val="left"/>
              <w:rPr>
                <w:rFonts w:hint="default" w:ascii="Times New Roman" w:hAnsi="Times New Roman" w:eastAsia="方正仿宋_GBK" w:cs="Times New Roman"/>
                <w:color w:val="000000"/>
                <w:kern w:val="0"/>
                <w:szCs w:val="21"/>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 xml:space="preserve">1.政策依据。    </w:t>
            </w:r>
          </w:p>
          <w:p>
            <w:pPr>
              <w:widowControl/>
              <w:spacing w:line="300" w:lineRule="exact"/>
              <w:jc w:val="left"/>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2.申请指南：补贴对象、补贴范围、补贴标准、申请程序、申请材料、咨询电话、受理单位等。</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3.补贴结果。</w:t>
            </w:r>
            <w:r>
              <w:rPr>
                <w:rFonts w:hint="default" w:ascii="Times New Roman" w:hAnsi="Times New Roman" w:eastAsia="方正仿宋_GBK" w:cs="Times New Roman"/>
                <w:color w:val="000000"/>
                <w:kern w:val="0"/>
                <w:szCs w:val="21"/>
                <w:highlight w:val="none"/>
                <w:shd w:val="clear" w:color="auto" w:fill="auto"/>
              </w:rPr>
              <w:br w:type="textWrapping"/>
            </w:r>
            <w:r>
              <w:rPr>
                <w:rFonts w:hint="default" w:ascii="Times New Roman" w:hAnsi="Times New Roman" w:eastAsia="方正仿宋_GBK" w:cs="Times New Roman"/>
                <w:color w:val="000000"/>
                <w:kern w:val="0"/>
                <w:szCs w:val="21"/>
                <w:highlight w:val="none"/>
                <w:shd w:val="clear" w:color="auto" w:fill="auto"/>
              </w:rPr>
              <w:t>4.监督渠道：举报电话、地址等。</w:t>
            </w:r>
          </w:p>
        </w:tc>
        <w:tc>
          <w:tcPr>
            <w:tcW w:w="3708" w:type="dxa"/>
            <w:tcBorders>
              <w:tl2br w:val="nil"/>
              <w:tr2bl w:val="nil"/>
            </w:tcBorders>
            <w:tcMar>
              <w:top w:w="15" w:type="dxa"/>
              <w:left w:w="15" w:type="dxa"/>
              <w:right w:w="15" w:type="dxa"/>
            </w:tcMar>
            <w:vAlign w:val="center"/>
          </w:tcPr>
          <w:p>
            <w:pPr>
              <w:widowControl/>
              <w:spacing w:line="300" w:lineRule="exact"/>
              <w:jc w:val="both"/>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《财政部 农业农村部关于印发农业相关转移支付资金管理办法的通知》（财农〔202</w:t>
            </w:r>
            <w:r>
              <w:rPr>
                <w:rFonts w:hint="default" w:ascii="Times New Roman" w:hAnsi="Times New Roman" w:eastAsia="方正仿宋_GBK" w:cs="Times New Roman"/>
                <w:color w:val="000000"/>
                <w:kern w:val="0"/>
                <w:szCs w:val="21"/>
                <w:highlight w:val="none"/>
                <w:shd w:val="clear" w:color="auto" w:fill="auto"/>
                <w:lang w:val="en-US" w:eastAsia="zh-CN"/>
              </w:rPr>
              <w:t>3</w:t>
            </w:r>
            <w:r>
              <w:rPr>
                <w:rFonts w:hint="default" w:ascii="Times New Roman" w:hAnsi="Times New Roman" w:eastAsia="方正仿宋_GBK" w:cs="Times New Roman"/>
                <w:color w:val="000000"/>
                <w:kern w:val="0"/>
                <w:szCs w:val="21"/>
                <w:highlight w:val="none"/>
                <w:shd w:val="clear" w:color="auto" w:fill="auto"/>
              </w:rPr>
              <w:t>〕1</w:t>
            </w:r>
            <w:r>
              <w:rPr>
                <w:rFonts w:hint="default" w:ascii="Times New Roman" w:hAnsi="Times New Roman" w:eastAsia="方正仿宋_GBK" w:cs="Times New Roman"/>
                <w:color w:val="000000"/>
                <w:kern w:val="0"/>
                <w:szCs w:val="21"/>
                <w:highlight w:val="none"/>
                <w:shd w:val="clear" w:color="auto" w:fill="auto"/>
                <w:lang w:val="en-US" w:eastAsia="zh-CN"/>
              </w:rPr>
              <w:t>1</w:t>
            </w:r>
            <w:r>
              <w:rPr>
                <w:rFonts w:hint="default" w:ascii="Times New Roman" w:hAnsi="Times New Roman" w:eastAsia="方正仿宋_GBK" w:cs="Times New Roman"/>
                <w:color w:val="000000"/>
                <w:kern w:val="0"/>
                <w:szCs w:val="21"/>
                <w:highlight w:val="none"/>
                <w:shd w:val="clear" w:color="auto" w:fill="auto"/>
              </w:rPr>
              <w:t>号）、《重庆市南川区农业农村委员会关于做好2023年高素质农民培育工作的通知》（南川农委发〔2023〕99号）</w:t>
            </w:r>
          </w:p>
        </w:tc>
        <w:tc>
          <w:tcPr>
            <w:tcW w:w="1260" w:type="dxa"/>
            <w:tcBorders>
              <w:tl2br w:val="nil"/>
              <w:tr2bl w:val="nil"/>
            </w:tcBorders>
            <w:tcMar>
              <w:top w:w="15" w:type="dxa"/>
              <w:left w:w="15" w:type="dxa"/>
              <w:right w:w="15" w:type="dxa"/>
            </w:tcMar>
            <w:vAlign w:val="center"/>
          </w:tcPr>
          <w:p>
            <w:pPr>
              <w:widowControl/>
              <w:spacing w:line="300" w:lineRule="exact"/>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方正仿宋_GBK" w:cs="Times New Roman"/>
                <w:color w:val="000000"/>
                <w:kern w:val="0"/>
                <w:szCs w:val="21"/>
                <w:highlight w:val="none"/>
                <w:shd w:val="clear" w:color="auto" w:fill="auto"/>
              </w:rPr>
              <w:t>自政府信息形成或者变更之日起20个工作日内。法律、法规对政府信息公开的期限另有规定的，从其规定。</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张凤</w:t>
            </w:r>
          </w:p>
        </w:tc>
        <w:tc>
          <w:tcPr>
            <w:tcW w:w="690"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color w:val="000000"/>
                <w:sz w:val="21"/>
                <w:szCs w:val="21"/>
                <w:highlight w:val="none"/>
                <w:shd w:val="clear" w:color="auto" w:fill="auto"/>
              </w:rPr>
            </w:pPr>
            <w:r>
              <w:rPr>
                <w:rFonts w:hint="eastAsia" w:ascii="方正仿宋_GBK" w:hAnsi="方正仿宋_GBK" w:eastAsia="方正仿宋_GBK" w:cs="方正仿宋_GBK"/>
                <w:color w:val="auto"/>
                <w:sz w:val="21"/>
                <w:szCs w:val="21"/>
                <w:highlight w:val="none"/>
                <w:shd w:val="clear" w:color="auto" w:fill="auto"/>
                <w:lang w:eastAsia="zh-CN"/>
              </w:rPr>
              <w:t>农林服务岗</w:t>
            </w:r>
          </w:p>
        </w:tc>
        <w:tc>
          <w:tcPr>
            <w:tcW w:w="7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overflowPunct w:val="0"/>
              <w:snapToGrid w:val="0"/>
              <w:jc w:val="center"/>
              <w:rPr>
                <w:rFonts w:hint="eastAsia" w:ascii="方正仿宋_GBK" w:hAnsi="方正仿宋_GBK" w:eastAsia="方正仿宋_GBK" w:cs="方正仿宋_GBK"/>
                <w:sz w:val="21"/>
                <w:szCs w:val="21"/>
                <w:highlight w:val="none"/>
                <w:shd w:val="clear" w:color="auto" w:fill="auto"/>
              </w:rPr>
            </w:pPr>
            <w:r>
              <w:rPr>
                <w:rFonts w:hint="eastAsia" w:ascii="方正仿宋_GBK" w:hAnsi="方正仿宋_GBK" w:eastAsia="方正仿宋_GBK" w:cs="方正仿宋_GBK"/>
                <w:b w:val="0"/>
                <w:color w:val="000000"/>
                <w:kern w:val="0"/>
                <w:sz w:val="21"/>
                <w:szCs w:val="21"/>
                <w:highlight w:val="none"/>
                <w:shd w:val="clear" w:color="auto" w:fill="auto"/>
                <w:lang w:val="en-US" w:eastAsia="zh-CN"/>
              </w:rPr>
              <w:t>鸣玉</w:t>
            </w:r>
            <w:r>
              <w:rPr>
                <w:rFonts w:hint="eastAsia" w:ascii="方正仿宋_GBK" w:hAnsi="方正仿宋_GBK" w:eastAsia="方正仿宋_GBK" w:cs="方正仿宋_GBK"/>
                <w:b w:val="0"/>
                <w:color w:val="000000"/>
                <w:kern w:val="0"/>
                <w:sz w:val="21"/>
                <w:szCs w:val="21"/>
                <w:highlight w:val="none"/>
                <w:shd w:val="clear" w:color="auto" w:fill="auto"/>
              </w:rPr>
              <w:t>镇人民政府</w:t>
            </w:r>
          </w:p>
        </w:tc>
        <w:tc>
          <w:tcPr>
            <w:tcW w:w="1394" w:type="dxa"/>
            <w:tcBorders>
              <w:tl2br w:val="nil"/>
              <w:tr2bl w:val="nil"/>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color w:val="auto"/>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 xml:space="preserve">■政府网站   </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kern w:val="0"/>
                <w:sz w:val="21"/>
                <w:szCs w:val="21"/>
                <w:highlight w:val="none"/>
                <w:shd w:val="clear" w:color="auto" w:fill="auto"/>
              </w:rPr>
            </w:pPr>
            <w:r>
              <w:rPr>
                <w:rFonts w:hint="eastAsia" w:ascii="方正仿宋_GBK" w:hAnsi="方正仿宋_GBK" w:eastAsia="方正仿宋_GBK" w:cs="方正仿宋_GBK"/>
                <w:color w:val="auto"/>
                <w:kern w:val="0"/>
                <w:sz w:val="21"/>
                <w:szCs w:val="21"/>
                <w:highlight w:val="none"/>
                <w:shd w:val="clear" w:color="auto" w:fill="auto"/>
              </w:rPr>
              <w:t>■</w:t>
            </w:r>
            <w:r>
              <w:rPr>
                <w:rFonts w:hint="eastAsia" w:ascii="方正仿宋_GBK" w:hAnsi="方正仿宋_GBK" w:eastAsia="方正仿宋_GBK" w:cs="方正仿宋_GBK"/>
                <w:color w:val="auto"/>
                <w:kern w:val="0"/>
                <w:sz w:val="21"/>
                <w:szCs w:val="21"/>
                <w:highlight w:val="none"/>
                <w:shd w:val="clear" w:color="auto" w:fill="auto"/>
                <w:lang w:eastAsia="zh-CN"/>
              </w:rPr>
              <w:t>公共</w:t>
            </w:r>
            <w:r>
              <w:rPr>
                <w:rFonts w:hint="eastAsia" w:ascii="方正仿宋_GBK" w:hAnsi="方正仿宋_GBK" w:eastAsia="方正仿宋_GBK" w:cs="方正仿宋_GBK"/>
                <w:color w:val="auto"/>
                <w:kern w:val="0"/>
                <w:sz w:val="21"/>
                <w:szCs w:val="21"/>
                <w:highlight w:val="none"/>
                <w:shd w:val="clear" w:color="auto" w:fill="auto"/>
              </w:rPr>
              <w:t>服务中心</w:t>
            </w:r>
            <w:r>
              <w:rPr>
                <w:rFonts w:hint="eastAsia" w:ascii="方正仿宋_GBK" w:hAnsi="方正仿宋_GBK" w:eastAsia="方正仿宋_GBK" w:cs="方正仿宋_GBK"/>
                <w:color w:val="auto"/>
                <w:kern w:val="0"/>
                <w:sz w:val="21"/>
                <w:szCs w:val="21"/>
                <w:highlight w:val="none"/>
                <w:shd w:val="clear" w:color="auto" w:fill="auto"/>
                <w:lang w:eastAsia="zh-CN"/>
              </w:rPr>
              <w:t>（政务公开专区）</w:t>
            </w:r>
            <w:r>
              <w:rPr>
                <w:rFonts w:hint="eastAsia" w:ascii="方正仿宋_GBK" w:hAnsi="方正仿宋_GBK" w:eastAsia="方正仿宋_GBK" w:cs="方正仿宋_GBK"/>
                <w:color w:val="auto"/>
                <w:kern w:val="0"/>
                <w:sz w:val="21"/>
                <w:szCs w:val="21"/>
                <w:highlight w:val="none"/>
                <w:shd w:val="clear" w:color="auto" w:fill="auto"/>
              </w:rPr>
              <w:t xml:space="preserve">                                                                                                                                                                                                     ■社区/企事业单位/村公示栏</w:t>
            </w:r>
            <w:r>
              <w:rPr>
                <w:rFonts w:hint="eastAsia" w:ascii="方正仿宋_GBK" w:hAnsi="方正仿宋_GBK" w:eastAsia="方正仿宋_GBK" w:cs="方正仿宋_GBK"/>
                <w:color w:val="auto"/>
                <w:kern w:val="0"/>
                <w:sz w:val="21"/>
                <w:szCs w:val="21"/>
                <w:highlight w:val="none"/>
                <w:shd w:val="clear" w:color="auto" w:fill="auto"/>
              </w:rPr>
              <w:br w:type="textWrapping"/>
            </w:r>
            <w:r>
              <w:rPr>
                <w:rFonts w:hint="eastAsia" w:ascii="方正仿宋_GBK" w:hAnsi="方正仿宋_GBK" w:eastAsia="方正仿宋_GBK" w:cs="方正仿宋_GBK"/>
                <w:color w:val="auto"/>
                <w:kern w:val="0"/>
                <w:sz w:val="21"/>
                <w:szCs w:val="21"/>
                <w:highlight w:val="none"/>
                <w:shd w:val="clear" w:color="auto" w:fill="auto"/>
              </w:rPr>
              <w:t xml:space="preserve">（电子屏）         </w:t>
            </w:r>
          </w:p>
        </w:tc>
        <w:tc>
          <w:tcPr>
            <w:tcW w:w="622"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73"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06"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c>
          <w:tcPr>
            <w:tcW w:w="557"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　</w:t>
            </w:r>
          </w:p>
        </w:tc>
        <w:tc>
          <w:tcPr>
            <w:tcW w:w="534" w:type="dxa"/>
            <w:tcBorders>
              <w:tl2br w:val="nil"/>
              <w:tr2bl w:val="nil"/>
            </w:tcBorders>
            <w:tcMar>
              <w:top w:w="15" w:type="dxa"/>
              <w:left w:w="15" w:type="dxa"/>
              <w:right w:w="15" w:type="dxa"/>
            </w:tcMar>
            <w:vAlign w:val="center"/>
          </w:tcPr>
          <w:p>
            <w:pPr>
              <w:overflowPunct w:val="0"/>
              <w:snapToGrid w:val="0"/>
              <w:jc w:val="center"/>
              <w:rPr>
                <w:rFonts w:hint="default" w:ascii="Times New Roman" w:hAnsi="Times New Roman" w:eastAsia="宋体" w:cs="Times New Roman"/>
                <w:color w:val="000000"/>
                <w:kern w:val="0"/>
                <w:sz w:val="18"/>
                <w:szCs w:val="18"/>
                <w:highlight w:val="none"/>
                <w:shd w:val="clear" w:color="auto" w:fill="auto"/>
              </w:rPr>
            </w:pPr>
            <w:r>
              <w:rPr>
                <w:rFonts w:hint="default" w:ascii="Times New Roman" w:hAnsi="Times New Roman" w:eastAsia="宋体" w:cs="Times New Roman"/>
                <w:color w:val="000000"/>
                <w:kern w:val="0"/>
                <w:sz w:val="18"/>
                <w:szCs w:val="18"/>
                <w:highlight w:val="none"/>
                <w:shd w:val="clear" w:color="auto" w:fill="auto"/>
              </w:rPr>
              <w:t>√</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MDA0OTM4NDRlYzE3OGRkZGRhNTliMGY2NWU0ZmIifQ=="/>
  </w:docVars>
  <w:rsids>
    <w:rsidRoot w:val="0052371F"/>
    <w:rsid w:val="0052371F"/>
    <w:rsid w:val="01BC5231"/>
    <w:rsid w:val="0E1421A8"/>
    <w:rsid w:val="14CC73D7"/>
    <w:rsid w:val="17196E38"/>
    <w:rsid w:val="3C123E1C"/>
    <w:rsid w:val="3F3F011D"/>
    <w:rsid w:val="4C761A0A"/>
    <w:rsid w:val="53601FA7"/>
    <w:rsid w:val="5C895A76"/>
    <w:rsid w:val="5D2508FC"/>
    <w:rsid w:val="5FEFC621"/>
    <w:rsid w:val="69F8767B"/>
    <w:rsid w:val="BCDB9C23"/>
    <w:rsid w:val="FAD71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758</Words>
  <Characters>762</Characters>
  <Lines>24</Lines>
  <Paragraphs>7</Paragraphs>
  <TotalTime>1</TotalTime>
  <ScaleCrop>false</ScaleCrop>
  <LinksUpToDate>false</LinksUpToDate>
  <CharactersWithSpaces>3428</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2023-10-14T06:18:00Z</dcterms:created>
  <dc:creator>Administrator</dc:creator>
  <cp:lastModifiedBy>myzf-01</cp:lastModifiedBy>
  <dcterms:modified xsi:type="dcterms:W3CDTF">2026-01-21T14:45:38Z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78E6D8369659EEE61276706980C649F3</vt:lpwstr>
  </property>
</Properties>
</file>