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rPr>
        <w:t>重庆市</w:t>
      </w:r>
      <w:r>
        <w:rPr>
          <w:rFonts w:hint="eastAsia" w:ascii="方正小标宋_GBK" w:hAnsi="方正小标宋_GBK" w:eastAsia="方正小标宋_GBK" w:cs="方正小标宋_GBK"/>
          <w:color w:val="000000"/>
          <w:kern w:val="0"/>
          <w:sz w:val="44"/>
          <w:szCs w:val="44"/>
          <w:lang w:eastAsia="zh-CN"/>
        </w:rPr>
        <w:t>南川</w:t>
      </w:r>
      <w:r>
        <w:rPr>
          <w:rFonts w:hint="eastAsia" w:ascii="方正小标宋_GBK" w:hAnsi="方正小标宋_GBK" w:eastAsia="方正小标宋_GBK" w:cs="方正小标宋_GBK"/>
          <w:color w:val="000000"/>
          <w:kern w:val="0"/>
          <w:sz w:val="44"/>
          <w:szCs w:val="44"/>
        </w:rPr>
        <w:t>区</w:t>
      </w:r>
      <w:r>
        <w:rPr>
          <w:rFonts w:hint="eastAsia" w:ascii="方正小标宋_GBK" w:hAnsi="方正小标宋_GBK" w:eastAsia="方正小标宋_GBK" w:cs="方正小标宋_GBK"/>
          <w:color w:val="000000"/>
          <w:sz w:val="44"/>
          <w:szCs w:val="44"/>
          <w:lang w:val="en-US" w:eastAsia="zh-CN"/>
        </w:rPr>
        <w:t>楠竹山镇</w:t>
      </w:r>
      <w:r>
        <w:rPr>
          <w:rFonts w:hint="eastAsia" w:ascii="方正小标宋_GBK" w:hAnsi="方正小标宋_GBK" w:eastAsia="方正小标宋_GBK" w:cs="方正小标宋_GBK"/>
          <w:color w:val="000000"/>
          <w:kern w:val="0"/>
          <w:sz w:val="44"/>
          <w:szCs w:val="44"/>
          <w:lang w:eastAsia="zh-CN"/>
        </w:rPr>
        <w:t>公共法律</w:t>
      </w:r>
      <w:r>
        <w:rPr>
          <w:rFonts w:hint="eastAsia" w:ascii="方正小标宋_GBK" w:hAnsi="方正小标宋_GBK" w:eastAsia="方正小标宋_GBK" w:cs="方正小标宋_GBK"/>
          <w:color w:val="000000"/>
          <w:kern w:val="0"/>
          <w:sz w:val="44"/>
          <w:szCs w:val="44"/>
        </w:rPr>
        <w:t>服务领域政务公开标准目录</w:t>
      </w:r>
      <w:r>
        <w:rPr>
          <w:rFonts w:hint="eastAsia" w:ascii="方正小标宋_GBK" w:hAnsi="方正小标宋_GBK" w:eastAsia="方正小标宋_GBK" w:cs="方正小标宋_GBK"/>
          <w:color w:val="000000"/>
          <w:kern w:val="0"/>
          <w:sz w:val="44"/>
          <w:szCs w:val="44"/>
          <w:lang w:eastAsia="zh-CN"/>
        </w:rPr>
        <w:t>（</w:t>
      </w:r>
      <w:r>
        <w:rPr>
          <w:rFonts w:hint="eastAsia" w:ascii="方正小标宋_GBK" w:hAnsi="方正小标宋_GBK" w:eastAsia="方正小标宋_GBK" w:cs="方正小标宋_GBK"/>
          <w:color w:val="000000"/>
          <w:kern w:val="0"/>
          <w:sz w:val="44"/>
          <w:szCs w:val="44"/>
          <w:lang w:val="en-US" w:eastAsia="zh-CN"/>
        </w:rPr>
        <w:t>2025年版</w:t>
      </w:r>
      <w:r>
        <w:rPr>
          <w:rFonts w:hint="eastAsia" w:ascii="方正小标宋_GBK" w:hAnsi="方正小标宋_GBK" w:eastAsia="方正小标宋_GBK" w:cs="方正小标宋_GBK"/>
          <w:color w:val="000000"/>
          <w:kern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color w:val="000000"/>
          <w:kern w:val="0"/>
          <w:sz w:val="44"/>
          <w:szCs w:val="44"/>
        </w:rPr>
      </w:pPr>
    </w:p>
    <w:tbl>
      <w:tblPr>
        <w:tblStyle w:val="5"/>
        <w:tblW w:w="16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25"/>
        <w:gridCol w:w="602"/>
        <w:gridCol w:w="1171"/>
        <w:gridCol w:w="2129"/>
        <w:gridCol w:w="2992"/>
        <w:gridCol w:w="687"/>
        <w:gridCol w:w="492"/>
        <w:gridCol w:w="750"/>
        <w:gridCol w:w="962"/>
        <w:gridCol w:w="2609"/>
        <w:gridCol w:w="622"/>
        <w:gridCol w:w="573"/>
        <w:gridCol w:w="506"/>
        <w:gridCol w:w="557"/>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序号</w:t>
            </w:r>
          </w:p>
        </w:tc>
        <w:tc>
          <w:tcPr>
            <w:tcW w:w="177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公开事项</w:t>
            </w:r>
          </w:p>
        </w:tc>
        <w:tc>
          <w:tcPr>
            <w:tcW w:w="2129"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公开内容</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（要素）</w:t>
            </w:r>
          </w:p>
        </w:tc>
        <w:tc>
          <w:tcPr>
            <w:tcW w:w="2992"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公开依据</w:t>
            </w:r>
          </w:p>
        </w:tc>
        <w:tc>
          <w:tcPr>
            <w:tcW w:w="687"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公开时限</w:t>
            </w:r>
          </w:p>
        </w:tc>
        <w:tc>
          <w:tcPr>
            <w:tcW w:w="492"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责任</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领导</w:t>
            </w:r>
          </w:p>
        </w:tc>
        <w:tc>
          <w:tcPr>
            <w:tcW w:w="75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责任</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单位</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pPr>
            <w:r>
              <w:rPr>
                <w:rFonts w:hint="eastAsia" w:ascii="宋体" w:hAnsi="宋体" w:eastAsia="宋体"/>
                <w:b w:val="0"/>
                <w:bCs/>
                <w:color w:val="000000"/>
                <w:kern w:val="0"/>
                <w:sz w:val="18"/>
                <w:szCs w:val="18"/>
              </w:rPr>
              <w:t>公开</w:t>
            </w:r>
            <w:r>
              <w:rPr>
                <w:rFonts w:ascii="宋体" w:hAnsi="宋体" w:eastAsia="宋体"/>
                <w:b w:val="0"/>
                <w:bCs/>
                <w:color w:val="000000"/>
                <w:kern w:val="0"/>
                <w:sz w:val="18"/>
                <w:szCs w:val="18"/>
              </w:rPr>
              <w:br w:type="textWrapping"/>
            </w:r>
            <w:r>
              <w:rPr>
                <w:rFonts w:hint="eastAsia" w:ascii="宋体" w:hAnsi="宋体" w:eastAsia="宋体"/>
                <w:b w:val="0"/>
                <w:bCs/>
                <w:color w:val="000000"/>
                <w:kern w:val="0"/>
                <w:sz w:val="18"/>
                <w:szCs w:val="18"/>
              </w:rPr>
              <w:t>主体</w:t>
            </w:r>
          </w:p>
        </w:tc>
        <w:tc>
          <w:tcPr>
            <w:tcW w:w="2609"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ascii="方正黑体_GBK" w:hAnsi="方正黑体_GBK" w:eastAsia="方正黑体_GBK" w:cs="方正黑体_GBK"/>
                <w:color w:val="000000"/>
                <w:sz w:val="18"/>
              </w:rPr>
              <w:t>公开渠道和载体</w:t>
            </w:r>
          </w:p>
        </w:tc>
        <w:tc>
          <w:tcPr>
            <w:tcW w:w="1195"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公开对象</w:t>
            </w:r>
          </w:p>
        </w:tc>
        <w:tc>
          <w:tcPr>
            <w:tcW w:w="106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公开方式</w:t>
            </w:r>
          </w:p>
        </w:tc>
        <w:tc>
          <w:tcPr>
            <w:tcW w:w="910" w:type="dxa"/>
            <w:tcBorders>
              <w:tl2br w:val="nil"/>
              <w:tr2bl w:val="nil"/>
            </w:tcBorders>
            <w:tcMar>
              <w:top w:w="15" w:type="dxa"/>
              <w:left w:w="15" w:type="dxa"/>
              <w:right w:w="15" w:type="dxa"/>
            </w:tcMar>
            <w:vAlign w:val="center"/>
          </w:tcPr>
          <w:p>
            <w:pPr>
              <w:widowControl/>
              <w:spacing w:line="310" w:lineRule="exact"/>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602"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一级</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事项</w:t>
            </w:r>
          </w:p>
        </w:tc>
        <w:tc>
          <w:tcPr>
            <w:tcW w:w="1171"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二级</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事项</w:t>
            </w:r>
          </w:p>
        </w:tc>
        <w:tc>
          <w:tcPr>
            <w:tcW w:w="2129"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p>
        </w:tc>
        <w:tc>
          <w:tcPr>
            <w:tcW w:w="2992"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p>
        </w:tc>
        <w:tc>
          <w:tcPr>
            <w:tcW w:w="687"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p>
        </w:tc>
        <w:tc>
          <w:tcPr>
            <w:tcW w:w="492"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750"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pPr>
          </w:p>
        </w:tc>
        <w:tc>
          <w:tcPr>
            <w:tcW w:w="2609"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622"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全社会</w:t>
            </w:r>
          </w:p>
        </w:tc>
        <w:tc>
          <w:tcPr>
            <w:tcW w:w="573"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特定</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群体</w:t>
            </w:r>
          </w:p>
        </w:tc>
        <w:tc>
          <w:tcPr>
            <w:tcW w:w="506"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主动</w:t>
            </w:r>
          </w:p>
        </w:tc>
        <w:tc>
          <w:tcPr>
            <w:tcW w:w="557"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依申</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请</w:t>
            </w:r>
          </w:p>
        </w:tc>
        <w:tc>
          <w:tcPr>
            <w:tcW w:w="910"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lang w:eastAsia="zh-CN"/>
              </w:rPr>
              <w:t>乡镇</w:t>
            </w:r>
            <w:r>
              <w:rPr>
                <w:rFonts w:hint="eastAsia" w:ascii="方正黑体_GBK" w:hAnsi="方正黑体_GBK" w:eastAsia="方正黑体_GBK" w:cs="方正黑体_GBK"/>
                <w:color w:val="000000"/>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1</w:t>
            </w:r>
          </w:p>
        </w:tc>
        <w:tc>
          <w:tcPr>
            <w:tcW w:w="60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行政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给付</w:t>
            </w:r>
          </w:p>
          <w:p>
            <w:pPr>
              <w:overflowPunct w:val="0"/>
              <w:snapToGrid w:val="0"/>
              <w:jc w:val="center"/>
              <w:rPr>
                <w:rFonts w:hint="eastAsia" w:ascii="Times New Roman" w:hAnsi="Times New Roman" w:eastAsia="宋体" w:cs="宋体"/>
                <w:color w:val="000000"/>
                <w:kern w:val="0"/>
                <w:sz w:val="18"/>
                <w:szCs w:val="18"/>
              </w:rPr>
            </w:pPr>
          </w:p>
        </w:tc>
        <w:tc>
          <w:tcPr>
            <w:tcW w:w="1171"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人民调解员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补贴发放</w:t>
            </w:r>
          </w:p>
          <w:p>
            <w:pPr>
              <w:overflowPunct w:val="0"/>
              <w:snapToGrid w:val="0"/>
              <w:jc w:val="center"/>
              <w:rPr>
                <w:rFonts w:hint="eastAsia" w:ascii="Times New Roman" w:hAnsi="Times New Roman" w:eastAsia="宋体" w:cs="宋体"/>
                <w:color w:val="000000"/>
                <w:kern w:val="0"/>
                <w:sz w:val="18"/>
                <w:szCs w:val="18"/>
              </w:rPr>
            </w:pP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依据、条件、程序以及发放情况</w:t>
            </w:r>
          </w:p>
          <w:p>
            <w:pPr>
              <w:overflowPunct w:val="0"/>
              <w:snapToGrid w:val="0"/>
              <w:jc w:val="center"/>
              <w:rPr>
                <w:rFonts w:hint="eastAsia" w:ascii="Times New Roman" w:hAnsi="Times New Roman" w:eastAsia="宋体" w:cs="宋体"/>
                <w:color w:val="000000"/>
                <w:kern w:val="0"/>
                <w:sz w:val="18"/>
                <w:szCs w:val="18"/>
              </w:rPr>
            </w:pPr>
          </w:p>
        </w:tc>
        <w:tc>
          <w:tcPr>
            <w:tcW w:w="2992"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《中华人民共和国人民调解法》</w:t>
            </w:r>
          </w:p>
          <w:p>
            <w:pPr>
              <w:overflowPunct w:val="0"/>
              <w:snapToGrid w:val="0"/>
              <w:jc w:val="left"/>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p>
            <w:pPr>
              <w:overflowPunct w:val="0"/>
              <w:snapToGrid w:val="0"/>
              <w:jc w:val="left"/>
              <w:rPr>
                <w:rFonts w:hint="eastAsia" w:ascii="Times New Roman" w:hAnsi="Times New Roman" w:eastAsia="宋体" w:cs="宋体"/>
                <w:color w:val="000000"/>
                <w:kern w:val="0"/>
                <w:sz w:val="18"/>
                <w:szCs w:val="18"/>
              </w:rPr>
            </w:pPr>
          </w:p>
        </w:tc>
        <w:tc>
          <w:tcPr>
            <w:tcW w:w="68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制作或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获取信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息之日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起20 个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default" w:ascii="宋体" w:hAnsi="宋体" w:eastAsia="宋体" w:cs="宋体"/>
                <w:color w:val="auto"/>
                <w:sz w:val="18"/>
                <w:szCs w:val="18"/>
              </w:rPr>
            </w:pPr>
            <w:r>
              <w:rPr>
                <w:rFonts w:hint="eastAsia" w:ascii="宋体" w:hAnsi="宋体" w:eastAsia="宋体" w:cs="宋体"/>
                <w:color w:val="auto"/>
                <w:sz w:val="18"/>
                <w:szCs w:val="18"/>
                <w:lang w:eastAsia="zh-CN"/>
              </w:rPr>
              <w:t>代凤</w:t>
            </w:r>
          </w:p>
        </w:tc>
        <w:tc>
          <w:tcPr>
            <w:tcW w:w="750" w:type="dxa"/>
            <w:tcBorders>
              <w:tl2br w:val="nil"/>
              <w:tr2bl w:val="nil"/>
            </w:tcBorders>
            <w:tcMar>
              <w:top w:w="15" w:type="dxa"/>
              <w:left w:w="15" w:type="dxa"/>
              <w:right w:w="15" w:type="dxa"/>
            </w:tcMar>
            <w:vAlign w:val="center"/>
          </w:tcPr>
          <w:p>
            <w:pPr>
              <w:overflowPunct w:val="0"/>
              <w:snapToGrid w:val="0"/>
              <w:jc w:val="center"/>
              <w:rPr>
                <w:rFonts w:hint="default" w:ascii="宋体" w:hAnsi="宋体" w:eastAsia="宋体" w:cs="宋体"/>
                <w:color w:val="auto"/>
                <w:sz w:val="18"/>
                <w:szCs w:val="18"/>
              </w:rPr>
            </w:pPr>
            <w:r>
              <w:rPr>
                <w:rFonts w:hint="eastAsia" w:ascii="宋体" w:hAnsi="宋体" w:eastAsia="宋体" w:cs="宋体"/>
                <w:color w:val="auto"/>
                <w:sz w:val="18"/>
                <w:szCs w:val="18"/>
                <w:lang w:eastAsia="zh-CN"/>
              </w:rPr>
              <w:t>法治建设岗</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eastAsiaTheme="minorEastAsia"/>
                <w:lang w:eastAsia="zh-CN"/>
              </w:rPr>
            </w:pPr>
            <w:r>
              <w:rPr>
                <w:rFonts w:hint="eastAsia" w:ascii="宋体" w:hAnsi="宋体" w:eastAsia="宋体"/>
                <w:b w:val="0"/>
                <w:color w:val="000000"/>
                <w:kern w:val="0"/>
                <w:sz w:val="18"/>
                <w:szCs w:val="18"/>
                <w:lang w:eastAsia="zh-CN"/>
              </w:rPr>
              <w:t>楠竹山镇人民政府</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kern w:val="0"/>
                <w:sz w:val="18"/>
                <w:szCs w:val="18"/>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tc>
        <w:tc>
          <w:tcPr>
            <w:tcW w:w="910" w:type="dxa"/>
            <w:tcBorders>
              <w:tl2br w:val="nil"/>
              <w:tr2bl w:val="nil"/>
            </w:tcBorders>
            <w:tcMar>
              <w:top w:w="15" w:type="dxa"/>
              <w:left w:w="15" w:type="dxa"/>
              <w:right w:w="15" w:type="dxa"/>
            </w:tcMar>
            <w:vAlign w:val="center"/>
          </w:tcPr>
          <w:p>
            <w:pPr>
              <w:overflowPunct w:val="0"/>
              <w:snapToGrid w:val="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2</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咨询服务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公共法律服务实体平台、热线平台、网络平台咨询服务</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公共法律服务实体、热线、网络平台法律咨询服务指南</w:t>
            </w:r>
          </w:p>
        </w:tc>
        <w:tc>
          <w:tcPr>
            <w:tcW w:w="2992" w:type="dxa"/>
            <w:tcBorders>
              <w:tl2br w:val="nil"/>
              <w:tr2bl w:val="nil"/>
            </w:tcBorders>
            <w:tcMar>
              <w:top w:w="15" w:type="dxa"/>
              <w:left w:w="15" w:type="dxa"/>
              <w:right w:w="15" w:type="dxa"/>
            </w:tcMar>
            <w:vAlign w:val="center"/>
          </w:tcPr>
          <w:p>
            <w:pPr>
              <w:overflowPunct w:val="0"/>
              <w:snapToGrid w:val="0"/>
              <w:jc w:val="left"/>
              <w:rPr>
                <w:rFonts w:eastAsia="方正仿宋_GBK" w:cs="方正仿宋_GBK"/>
                <w:kern w:val="0"/>
                <w:sz w:val="21"/>
                <w:szCs w:val="21"/>
                <w:lang w:bidi="ar"/>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《司法部办公厅关于印发公共法律服务领域基层政务公开标准指引的通知》（司办通〔2019〕57号）</w:t>
            </w:r>
          </w:p>
          <w:p>
            <w:pPr>
              <w:overflowPunct w:val="0"/>
              <w:snapToGrid w:val="0"/>
              <w:jc w:val="left"/>
              <w:rPr>
                <w:rFonts w:hint="eastAsia" w:ascii="Times New Roman" w:hAnsi="Times New Roman" w:eastAsia="宋体" w:cs="宋体"/>
                <w:color w:val="000000"/>
                <w:kern w:val="0"/>
                <w:sz w:val="18"/>
                <w:szCs w:val="18"/>
                <w:lang w:val="zh-CN" w:eastAsia="zh-CN" w:bidi="ar-SA"/>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代凤</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法治建设岗</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pPr>
            <w:r>
              <w:rPr>
                <w:rFonts w:hint="eastAsia" w:ascii="宋体" w:hAnsi="宋体" w:eastAsia="宋体"/>
                <w:b w:val="0"/>
                <w:color w:val="000000"/>
                <w:kern w:val="0"/>
                <w:sz w:val="18"/>
                <w:szCs w:val="18"/>
                <w:lang w:eastAsia="zh-CN"/>
              </w:rPr>
              <w:t>楠竹山镇人民政府</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3</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查询服务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公共法律服务实体、热线、网络平台信息</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公共法律服务平台建设相关规划，实体场所地址、热线电话、中国法网和重庆法网网址，公共法律服务事项清单及服务指南</w:t>
            </w:r>
          </w:p>
        </w:tc>
        <w:tc>
          <w:tcPr>
            <w:tcW w:w="299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《司法部办公厅关于印发公共法律服务领域基层政务公开标准指引的通知》（司办通〔2019〕57号）</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宋体" w:hAnsi="宋体" w:eastAsia="宋体" w:cs="宋体"/>
                <w:color w:val="auto"/>
                <w:sz w:val="18"/>
                <w:szCs w:val="18"/>
                <w:lang w:eastAsia="zh-CN"/>
              </w:rPr>
              <w:t>代凤</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宋体" w:hAnsi="宋体" w:eastAsia="宋体" w:cs="宋体"/>
                <w:color w:val="auto"/>
                <w:sz w:val="18"/>
                <w:szCs w:val="18"/>
                <w:lang w:eastAsia="zh-CN"/>
              </w:rPr>
              <w:t>法治建设岗</w:t>
            </w:r>
          </w:p>
        </w:tc>
        <w:tc>
          <w:tcPr>
            <w:tcW w:w="962" w:type="dxa"/>
            <w:vAlign w:val="center"/>
          </w:tcPr>
          <w:p>
            <w:pPr>
              <w:overflowPunct w:val="0"/>
              <w:snapToGrid w:val="0"/>
              <w:jc w:val="center"/>
            </w:pPr>
            <w:r>
              <w:rPr>
                <w:rFonts w:hint="eastAsia" w:ascii="宋体" w:hAnsi="宋体" w:eastAsia="宋体"/>
                <w:b w:val="0"/>
                <w:color w:val="000000"/>
                <w:kern w:val="0"/>
                <w:sz w:val="18"/>
                <w:szCs w:val="18"/>
                <w:lang w:eastAsia="zh-CN"/>
              </w:rPr>
              <w:t>楠竹山镇人民政府</w:t>
            </w:r>
          </w:p>
        </w:tc>
        <w:tc>
          <w:tcPr>
            <w:tcW w:w="2609" w:type="dxa"/>
            <w:tcBorders>
              <w:tl2br w:val="nil"/>
              <w:tr2bl w:val="nil"/>
            </w:tcBorders>
            <w:tcMar>
              <w:top w:w="15" w:type="dxa"/>
              <w:left w:w="15" w:type="dxa"/>
              <w:right w:w="15" w:type="dxa"/>
            </w:tcMar>
            <w:vAlign w:val="center"/>
          </w:tcPr>
          <w:p>
            <w:pPr>
              <w:overflowPunct w:val="0"/>
              <w:snapToGrid w:val="0"/>
              <w:jc w:val="left"/>
              <w:rPr>
                <w:rFonts w:eastAsia="方正仿宋_GBK" w:cs="方正仿宋_GBK" w:asciiTheme="minorHAnsi" w:hAnsiTheme="minorHAnsi"/>
                <w:kern w:val="0"/>
                <w:sz w:val="21"/>
                <w:szCs w:val="21"/>
                <w:lang w:val="en-US" w:eastAsia="zh-CN" w:bidi="ar"/>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4</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其他</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法律知识</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普及服务</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法律法规资讯、普法动态资讯、普法讲师团信息等</w:t>
            </w:r>
          </w:p>
        </w:tc>
        <w:tc>
          <w:tcPr>
            <w:tcW w:w="299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《中共中央、国务院转发〈中央宣传部、司法部关于开展法治宣传教育的第八个五年规划（20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《中共重庆市委</w:t>
            </w:r>
            <w:r>
              <w:rPr>
                <w:rFonts w:hint="eastAsia" w:ascii="Times New Roman" w:hAnsi="Times New Roman" w:eastAsia="宋体" w:cs="宋体"/>
                <w:color w:val="000000"/>
                <w:kern w:val="0"/>
                <w:sz w:val="18"/>
                <w:szCs w:val="18"/>
                <w:lang w:val="en-US" w:eastAsia="zh-CN"/>
              </w:rPr>
              <w:t xml:space="preserve"> </w:t>
            </w:r>
            <w:r>
              <w:rPr>
                <w:rFonts w:hint="eastAsia" w:ascii="Times New Roman" w:hAnsi="Times New Roman" w:eastAsia="宋体" w:cs="宋体"/>
                <w:color w:val="000000"/>
                <w:kern w:val="0"/>
                <w:sz w:val="18"/>
                <w:szCs w:val="18"/>
                <w:lang w:val="zh-CN" w:eastAsia="zh-CN"/>
              </w:rPr>
              <w:t>重庆市人民政府转发〈中共重庆市委宣传部</w:t>
            </w:r>
            <w:r>
              <w:rPr>
                <w:rFonts w:hint="eastAsia" w:ascii="Times New Roman" w:hAnsi="Times New Roman" w:eastAsia="宋体" w:cs="宋体"/>
                <w:color w:val="000000"/>
                <w:kern w:val="0"/>
                <w:sz w:val="18"/>
                <w:szCs w:val="18"/>
                <w:lang w:val="en-US" w:eastAsia="zh-CN"/>
              </w:rPr>
              <w:t xml:space="preserve"> </w:t>
            </w:r>
            <w:r>
              <w:rPr>
                <w:rFonts w:hint="eastAsia" w:ascii="Times New Roman" w:hAnsi="Times New Roman" w:eastAsia="宋体" w:cs="宋体"/>
                <w:color w:val="000000"/>
                <w:kern w:val="0"/>
                <w:sz w:val="18"/>
                <w:szCs w:val="18"/>
                <w:lang w:val="zh-CN" w:eastAsia="zh-CN"/>
              </w:rPr>
              <w:t>重庆市司法局关于开展法治宣传教育的第八个五年规划（20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《中共重庆市南川区委</w:t>
            </w:r>
            <w:r>
              <w:rPr>
                <w:rFonts w:hint="eastAsia" w:ascii="Times New Roman" w:hAnsi="Times New Roman" w:eastAsia="宋体" w:cs="宋体"/>
                <w:color w:val="000000"/>
                <w:kern w:val="0"/>
                <w:sz w:val="18"/>
                <w:szCs w:val="18"/>
                <w:lang w:val="en-US" w:eastAsia="zh-CN"/>
              </w:rPr>
              <w:t xml:space="preserve"> 重庆市南川区人民政府转发</w:t>
            </w:r>
            <w:r>
              <w:rPr>
                <w:rFonts w:hint="eastAsia" w:ascii="Times New Roman" w:hAnsi="Times New Roman" w:eastAsia="宋体" w:cs="宋体"/>
                <w:color w:val="000000"/>
                <w:kern w:val="0"/>
                <w:sz w:val="18"/>
                <w:szCs w:val="18"/>
                <w:lang w:val="zh-CN" w:eastAsia="zh-CN"/>
              </w:rPr>
              <w:t>〈中共重庆市南川区委宣传部</w:t>
            </w:r>
            <w:r>
              <w:rPr>
                <w:rFonts w:hint="eastAsia" w:ascii="Times New Roman" w:hAnsi="Times New Roman" w:eastAsia="宋体" w:cs="宋体"/>
                <w:color w:val="000000"/>
                <w:kern w:val="0"/>
                <w:sz w:val="18"/>
                <w:szCs w:val="18"/>
                <w:lang w:val="en-US" w:eastAsia="zh-CN"/>
              </w:rPr>
              <w:t xml:space="preserve"> </w:t>
            </w:r>
            <w:r>
              <w:rPr>
                <w:rFonts w:hint="eastAsia" w:ascii="Times New Roman" w:hAnsi="Times New Roman" w:eastAsia="宋体" w:cs="宋体"/>
                <w:color w:val="000000"/>
                <w:kern w:val="0"/>
                <w:sz w:val="18"/>
                <w:szCs w:val="18"/>
                <w:lang w:val="zh-CN" w:eastAsia="zh-CN"/>
              </w:rPr>
              <w:t>重庆市南川区司法局关于开展法治宣传教育的第八个五年规划〉</w:t>
            </w:r>
            <w:r>
              <w:rPr>
                <w:rFonts w:hint="eastAsia" w:ascii="Times New Roman" w:hAnsi="Times New Roman" w:eastAsia="宋体" w:cs="宋体"/>
                <w:color w:val="000000"/>
                <w:kern w:val="0"/>
                <w:sz w:val="18"/>
                <w:szCs w:val="18"/>
                <w:lang w:val="en-US" w:eastAsia="zh-CN"/>
              </w:rPr>
              <w:t>的通知</w:t>
            </w:r>
            <w:r>
              <w:rPr>
                <w:rFonts w:hint="eastAsia" w:ascii="Times New Roman" w:hAnsi="Times New Roman" w:eastAsia="宋体" w:cs="宋体"/>
                <w:color w:val="000000"/>
                <w:kern w:val="0"/>
                <w:sz w:val="18"/>
                <w:szCs w:val="18"/>
                <w:lang w:val="zh-CN" w:eastAsia="zh-CN"/>
              </w:rPr>
              <w:t>》</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宋体" w:hAnsi="宋体" w:eastAsia="宋体" w:cs="宋体"/>
                <w:color w:val="auto"/>
                <w:sz w:val="18"/>
                <w:szCs w:val="18"/>
                <w:lang w:eastAsia="zh-CN"/>
              </w:rPr>
              <w:t>代凤</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宋体" w:hAnsi="宋体" w:eastAsia="宋体" w:cs="宋体"/>
                <w:color w:val="auto"/>
                <w:sz w:val="18"/>
                <w:szCs w:val="18"/>
                <w:lang w:eastAsia="zh-CN"/>
              </w:rPr>
              <w:t>法治建设岗</w:t>
            </w:r>
          </w:p>
        </w:tc>
        <w:tc>
          <w:tcPr>
            <w:tcW w:w="962" w:type="dxa"/>
            <w:vAlign w:val="center"/>
          </w:tcPr>
          <w:p>
            <w:pPr>
              <w:overflowPunct w:val="0"/>
              <w:snapToGrid w:val="0"/>
              <w:jc w:val="center"/>
            </w:pPr>
            <w:r>
              <w:rPr>
                <w:rFonts w:hint="eastAsia" w:ascii="宋体" w:hAnsi="宋体" w:eastAsia="宋体"/>
                <w:b w:val="0"/>
                <w:color w:val="000000"/>
                <w:kern w:val="0"/>
                <w:sz w:val="18"/>
                <w:szCs w:val="18"/>
                <w:lang w:eastAsia="zh-CN"/>
              </w:rPr>
              <w:t>楠竹山镇人民政府</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r>
              <w:rPr>
                <w:rFonts w:hint="eastAsia" w:ascii="Times New Roman" w:hAnsi="Times New Roman" w:eastAsia="宋体" w:cs="宋体"/>
                <w:color w:val="000000"/>
                <w:kern w:val="0"/>
                <w:sz w:val="18"/>
                <w:szCs w:val="18"/>
                <w:lang w:val="en-US" w:eastAsia="zh-CN"/>
              </w:rPr>
              <w:t xml:space="preserve">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5</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其他</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推广法治</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文化服务</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辖区内法治文化阵地信息，法治文化作品、产品</w:t>
            </w:r>
          </w:p>
        </w:tc>
        <w:tc>
          <w:tcPr>
            <w:tcW w:w="299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《中共中央</w:t>
            </w:r>
            <w:r>
              <w:rPr>
                <w:rFonts w:hint="eastAsia" w:ascii="Times New Roman" w:hAnsi="Times New Roman" w:eastAsia="宋体" w:cs="宋体"/>
                <w:color w:val="000000"/>
                <w:kern w:val="0"/>
                <w:sz w:val="18"/>
                <w:szCs w:val="18"/>
                <w:lang w:val="en-US" w:eastAsia="zh-CN"/>
              </w:rPr>
              <w:t xml:space="preserve"> </w:t>
            </w:r>
            <w:r>
              <w:rPr>
                <w:rFonts w:hint="eastAsia" w:ascii="Times New Roman" w:hAnsi="Times New Roman" w:eastAsia="宋体" w:cs="宋体"/>
                <w:color w:val="000000"/>
                <w:kern w:val="0"/>
                <w:sz w:val="18"/>
                <w:szCs w:val="18"/>
                <w:lang w:val="zh-CN" w:eastAsia="zh-CN"/>
              </w:rPr>
              <w:t>国务院转发〈中央宣传部</w:t>
            </w:r>
            <w:r>
              <w:rPr>
                <w:rFonts w:hint="eastAsia" w:ascii="Times New Roman" w:hAnsi="Times New Roman" w:eastAsia="宋体" w:cs="宋体"/>
                <w:color w:val="000000"/>
                <w:kern w:val="0"/>
                <w:sz w:val="18"/>
                <w:szCs w:val="18"/>
                <w:lang w:val="en-US" w:eastAsia="zh-CN"/>
              </w:rPr>
              <w:t xml:space="preserve"> </w:t>
            </w:r>
            <w:r>
              <w:rPr>
                <w:rFonts w:hint="eastAsia" w:ascii="Times New Roman" w:hAnsi="Times New Roman" w:eastAsia="宋体" w:cs="宋体"/>
                <w:color w:val="000000"/>
                <w:kern w:val="0"/>
                <w:sz w:val="18"/>
                <w:szCs w:val="18"/>
                <w:lang w:val="zh-CN" w:eastAsia="zh-CN"/>
              </w:rPr>
              <w:t>司法部关于开展法治宣传教育的第八个五年规划（20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《中共重庆市委</w:t>
            </w:r>
            <w:r>
              <w:rPr>
                <w:rFonts w:hint="eastAsia" w:ascii="Times New Roman" w:hAnsi="Times New Roman" w:eastAsia="宋体" w:cs="宋体"/>
                <w:color w:val="000000"/>
                <w:kern w:val="0"/>
                <w:sz w:val="18"/>
                <w:szCs w:val="18"/>
                <w:lang w:val="en-US" w:eastAsia="zh-CN"/>
              </w:rPr>
              <w:t xml:space="preserve"> </w:t>
            </w:r>
            <w:r>
              <w:rPr>
                <w:rFonts w:hint="eastAsia" w:ascii="Times New Roman" w:hAnsi="Times New Roman" w:eastAsia="宋体" w:cs="宋体"/>
                <w:color w:val="000000"/>
                <w:kern w:val="0"/>
                <w:sz w:val="18"/>
                <w:szCs w:val="18"/>
                <w:lang w:val="zh-CN" w:eastAsia="zh-CN"/>
              </w:rPr>
              <w:t>重庆市人民政府转发〈中共重庆市委宣传部</w:t>
            </w:r>
            <w:r>
              <w:rPr>
                <w:rFonts w:hint="eastAsia" w:ascii="Times New Roman" w:hAnsi="Times New Roman" w:eastAsia="宋体" w:cs="宋体"/>
                <w:color w:val="000000"/>
                <w:kern w:val="0"/>
                <w:sz w:val="18"/>
                <w:szCs w:val="18"/>
                <w:lang w:val="en-US" w:eastAsia="zh-CN"/>
              </w:rPr>
              <w:t xml:space="preserve"> </w:t>
            </w:r>
            <w:r>
              <w:rPr>
                <w:rFonts w:hint="eastAsia" w:ascii="Times New Roman" w:hAnsi="Times New Roman" w:eastAsia="宋体" w:cs="宋体"/>
                <w:color w:val="000000"/>
                <w:kern w:val="0"/>
                <w:sz w:val="18"/>
                <w:szCs w:val="18"/>
                <w:lang w:val="zh-CN" w:eastAsia="zh-CN"/>
              </w:rPr>
              <w:t>重庆市司法局关于开展法治宣传教育 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《中共重庆市南川区委</w:t>
            </w:r>
            <w:r>
              <w:rPr>
                <w:rFonts w:hint="eastAsia" w:ascii="Times New Roman" w:hAnsi="Times New Roman" w:eastAsia="宋体" w:cs="宋体"/>
                <w:color w:val="000000"/>
                <w:kern w:val="0"/>
                <w:sz w:val="18"/>
                <w:szCs w:val="18"/>
                <w:lang w:val="en-US" w:eastAsia="zh-CN"/>
              </w:rPr>
              <w:t xml:space="preserve"> 重庆市南川区人民政府转发</w:t>
            </w:r>
            <w:r>
              <w:rPr>
                <w:rFonts w:hint="eastAsia" w:ascii="Times New Roman" w:hAnsi="Times New Roman" w:eastAsia="宋体" w:cs="宋体"/>
                <w:color w:val="000000"/>
                <w:kern w:val="0"/>
                <w:sz w:val="18"/>
                <w:szCs w:val="18"/>
                <w:lang w:val="zh-CN" w:eastAsia="zh-CN"/>
              </w:rPr>
              <w:t>〈中共重庆市南川区委宣传部</w:t>
            </w:r>
            <w:r>
              <w:rPr>
                <w:rFonts w:hint="eastAsia" w:ascii="Times New Roman" w:hAnsi="Times New Roman" w:eastAsia="宋体" w:cs="宋体"/>
                <w:color w:val="000000"/>
                <w:kern w:val="0"/>
                <w:sz w:val="18"/>
                <w:szCs w:val="18"/>
                <w:lang w:val="en-US" w:eastAsia="zh-CN"/>
              </w:rPr>
              <w:t xml:space="preserve"> </w:t>
            </w:r>
            <w:bookmarkStart w:id="0" w:name="_GoBack"/>
            <w:bookmarkEnd w:id="0"/>
            <w:r>
              <w:rPr>
                <w:rFonts w:hint="eastAsia" w:ascii="Times New Roman" w:hAnsi="Times New Roman" w:eastAsia="宋体" w:cs="宋体"/>
                <w:color w:val="000000"/>
                <w:kern w:val="0"/>
                <w:sz w:val="18"/>
                <w:szCs w:val="18"/>
                <w:lang w:val="zh-CN" w:eastAsia="zh-CN"/>
              </w:rPr>
              <w:t>重庆市南川区司法局关于开展法治宣传教育的第八个五年规划〉</w:t>
            </w:r>
            <w:r>
              <w:rPr>
                <w:rFonts w:hint="eastAsia" w:ascii="Times New Roman" w:hAnsi="Times New Roman" w:eastAsia="宋体" w:cs="宋体"/>
                <w:color w:val="000000"/>
                <w:kern w:val="0"/>
                <w:sz w:val="18"/>
                <w:szCs w:val="18"/>
                <w:lang w:val="en-US" w:eastAsia="zh-CN"/>
              </w:rPr>
              <w:t>的通知</w:t>
            </w:r>
            <w:r>
              <w:rPr>
                <w:rFonts w:hint="eastAsia" w:ascii="Times New Roman" w:hAnsi="Times New Roman" w:eastAsia="宋体" w:cs="宋体"/>
                <w:color w:val="000000"/>
                <w:kern w:val="0"/>
                <w:sz w:val="18"/>
                <w:szCs w:val="18"/>
                <w:lang w:val="zh-CN" w:eastAsia="zh-CN"/>
              </w:rPr>
              <w:t>》</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宋体" w:hAnsi="宋体" w:eastAsia="宋体" w:cs="宋体"/>
                <w:color w:val="auto"/>
                <w:sz w:val="18"/>
                <w:szCs w:val="18"/>
                <w:lang w:eastAsia="zh-CN"/>
              </w:rPr>
              <w:t>代凤</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宋体" w:hAnsi="宋体" w:eastAsia="宋体" w:cs="宋体"/>
                <w:color w:val="auto"/>
                <w:sz w:val="18"/>
                <w:szCs w:val="18"/>
                <w:lang w:eastAsia="zh-CN"/>
              </w:rPr>
              <w:t>法治建设岗</w:t>
            </w:r>
          </w:p>
        </w:tc>
        <w:tc>
          <w:tcPr>
            <w:tcW w:w="962" w:type="dxa"/>
            <w:vAlign w:val="center"/>
          </w:tcPr>
          <w:p>
            <w:pPr>
              <w:jc w:val="center"/>
            </w:pPr>
            <w:r>
              <w:rPr>
                <w:rFonts w:hint="eastAsia" w:ascii="宋体" w:hAnsi="宋体" w:eastAsia="宋体"/>
                <w:b w:val="0"/>
                <w:color w:val="000000"/>
                <w:kern w:val="0"/>
                <w:sz w:val="18"/>
                <w:szCs w:val="18"/>
                <w:lang w:eastAsia="zh-CN"/>
              </w:rPr>
              <w:t>楠竹山镇人民政府</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r>
              <w:rPr>
                <w:rFonts w:hint="eastAsia" w:ascii="Times New Roman" w:hAnsi="Times New Roman" w:eastAsia="宋体" w:cs="宋体"/>
                <w:color w:val="000000"/>
                <w:kern w:val="0"/>
                <w:sz w:val="18"/>
                <w:szCs w:val="18"/>
                <w:lang w:val="en-US" w:eastAsia="zh-CN"/>
              </w:rPr>
              <w:t xml:space="preserve">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mZTMwN2I4ZDZkNzRjOTUxYTQ4YTYyNzYxNTQ3MDMifQ=="/>
    <w:docVar w:name="KSO_WPS_MARK_KEY" w:val="f7de1d11-88a0-41a7-94df-851aeedcb6fa"/>
  </w:docVars>
  <w:rsids>
    <w:rsidRoot w:val="0052371F"/>
    <w:rsid w:val="0052371F"/>
    <w:rsid w:val="02053F22"/>
    <w:rsid w:val="0E1421A8"/>
    <w:rsid w:val="1AF726AF"/>
    <w:rsid w:val="22164BAE"/>
    <w:rsid w:val="2BC977A3"/>
    <w:rsid w:val="2F2F37CB"/>
    <w:rsid w:val="30110DE2"/>
    <w:rsid w:val="437217FE"/>
    <w:rsid w:val="4CB91D57"/>
    <w:rsid w:val="5FFB345A"/>
    <w:rsid w:val="BEDFB65B"/>
    <w:rsid w:val="FAD7164F"/>
    <w:rsid w:val="FB5B06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widowControl w:val="0"/>
      <w:spacing w:line="560" w:lineRule="exact"/>
      <w:jc w:val="left"/>
    </w:pPr>
    <w:rPr>
      <w:rFonts w:ascii="黑体" w:hAnsi="黑体" w:eastAsia="黑体" w:cs="Times New Roman"/>
      <w:color w:val="auto"/>
      <w:u w:val="none" w:color="auto"/>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1278</Words>
  <Characters>1318</Characters>
  <Lines>24</Lines>
  <Paragraphs>7</Paragraphs>
  <TotalTime>0</TotalTime>
  <ScaleCrop>false</ScaleCrop>
  <LinksUpToDate>false</LinksUpToDate>
  <CharactersWithSpaces>4038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2023-10-14T14:18:00Z</dcterms:created>
  <dc:creator>Administrator</dc:creator>
  <cp:lastModifiedBy>user</cp:lastModifiedBy>
  <dcterms:modified xsi:type="dcterms:W3CDTF">2025-02-14T11:55:38Z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1828F13A86004ABC9107447092EACD93_13</vt:lpwstr>
  </property>
  <property fmtid="{D5CDD505-2E9C-101B-9397-08002B2CF9AE}" pid="4" name="KSOTemplateDocerSaveRecord">
    <vt:lpwstr>eyJoZGlkIjoiZGNmZTMwN2I4ZDZkNzRjOTUxYTQ4YTYyNzYxNTQ3MDMiLCJ1c2VySWQiOiI0MjQ2NzQ2OTcifQ==</vt:lpwstr>
  </property>
</Properties>
</file>