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kern w:val="0"/>
          <w:sz w:val="44"/>
          <w:szCs w:val="44"/>
          <w:lang w:val="en-US" w:eastAsia="zh-CN"/>
        </w:rPr>
        <w:t>乾丰</w:t>
      </w:r>
      <w:r>
        <w:rPr>
          <w:rFonts w:hint="eastAsia" w:ascii="方正小标宋_GBK" w:hAnsi="方正小标宋_GBK" w:eastAsia="方正小标宋_GBK" w:cs="方正小标宋_GBK"/>
          <w:color w:val="000000"/>
          <w:sz w:val="44"/>
          <w:szCs w:val="44"/>
          <w:lang w:val="en-US" w:eastAsia="zh-CN"/>
        </w:rPr>
        <w:t>镇</w:t>
      </w:r>
      <w:r>
        <w:rPr>
          <w:rFonts w:hint="eastAsia" w:ascii="方正小标宋_GBK" w:hAnsi="方正小标宋_GBK" w:eastAsia="方正小标宋_GBK" w:cs="方正小标宋_GBK"/>
          <w:color w:val="000000"/>
          <w:kern w:val="0"/>
          <w:sz w:val="44"/>
          <w:szCs w:val="44"/>
          <w:lang w:eastAsia="zh-CN"/>
        </w:rPr>
        <w:t>人民政府公共文化服务</w:t>
      </w:r>
      <w:r>
        <w:rPr>
          <w:rFonts w:hint="eastAsia" w:ascii="方正小标宋_GBK" w:hAnsi="方正小标宋_GBK" w:eastAsia="方正小标宋_GBK" w:cs="方正小标宋_GBK"/>
          <w:color w:val="000000"/>
          <w:kern w:val="0"/>
          <w:sz w:val="44"/>
          <w:szCs w:val="44"/>
        </w:rPr>
        <w:t>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bookmarkStart w:id="0" w:name="_GoBack"/>
      <w:bookmarkEnd w:id="0"/>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公开内容</w:t>
            </w:r>
          </w:p>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（要素）</w:t>
            </w:r>
          </w:p>
        </w:tc>
        <w:tc>
          <w:tcPr>
            <w:tcW w:w="29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公开时限</w:t>
            </w:r>
          </w:p>
        </w:tc>
        <w:tc>
          <w:tcPr>
            <w:tcW w:w="4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责任</w:t>
            </w:r>
          </w:p>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领导</w:t>
            </w:r>
          </w:p>
        </w:tc>
        <w:tc>
          <w:tcPr>
            <w:tcW w:w="75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责任</w:t>
            </w:r>
          </w:p>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bCs/>
                <w:color w:val="000000"/>
                <w:kern w:val="0"/>
                <w:sz w:val="18"/>
                <w:szCs w:val="18"/>
              </w:rPr>
              <w:t>公开</w:t>
            </w:r>
            <w:r>
              <w:rPr>
                <w:rFonts w:hint="default" w:ascii="Times New Roman" w:hAnsi="Times New Roman" w:eastAsia="方正仿宋_GBK" w:cs="Times New Roman"/>
                <w:b w:val="0"/>
                <w:bCs/>
                <w:color w:val="000000"/>
                <w:kern w:val="0"/>
                <w:sz w:val="18"/>
                <w:szCs w:val="18"/>
              </w:rPr>
              <w:br w:type="textWrapping"/>
            </w:r>
            <w:r>
              <w:rPr>
                <w:rFonts w:hint="default" w:ascii="Times New Roman" w:hAnsi="Times New Roman" w:eastAsia="方正仿宋_GBK" w:cs="Times New Roman"/>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公开方式</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hint="default" w:ascii="Times New Roman" w:hAnsi="Times New Roman" w:eastAsia="方正仿宋_GBK" w:cs="Times New Roman"/>
                <w:color w:val="000000"/>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一级</w:t>
            </w:r>
          </w:p>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二级</w:t>
            </w:r>
          </w:p>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default" w:ascii="Times New Roman" w:hAnsi="Times New Roman" w:eastAsia="方正仿宋_GBK" w:cs="Times New Roman"/>
                <w:color w:val="000000"/>
                <w:sz w:val="18"/>
                <w:szCs w:val="18"/>
              </w:rPr>
            </w:pPr>
          </w:p>
        </w:tc>
        <w:tc>
          <w:tcPr>
            <w:tcW w:w="2992"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default" w:ascii="Times New Roman" w:hAnsi="Times New Roman" w:eastAsia="方正仿宋_GBK" w:cs="Times New Roman"/>
                <w:color w:val="000000"/>
                <w:sz w:val="18"/>
                <w:szCs w:val="18"/>
              </w:rPr>
            </w:pPr>
          </w:p>
        </w:tc>
        <w:tc>
          <w:tcPr>
            <w:tcW w:w="687"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default" w:ascii="Times New Roman" w:hAnsi="Times New Roman" w:eastAsia="方正仿宋_GBK" w:cs="Times New Roman"/>
                <w:color w:val="000000"/>
                <w:sz w:val="18"/>
                <w:szCs w:val="18"/>
              </w:rPr>
            </w:pPr>
          </w:p>
        </w:tc>
        <w:tc>
          <w:tcPr>
            <w:tcW w:w="492" w:type="dxa"/>
            <w:vMerge w:val="continue"/>
            <w:tcBorders>
              <w:tl2br w:val="nil"/>
              <w:tr2bl w:val="nil"/>
            </w:tcBorders>
            <w:tcMar>
              <w:top w:w="15" w:type="dxa"/>
              <w:left w:w="15" w:type="dxa"/>
              <w:right w:w="15" w:type="dxa"/>
            </w:tcMar>
            <w:vAlign w:val="center"/>
          </w:tcPr>
          <w:p>
            <w:pPr>
              <w:spacing w:line="310" w:lineRule="exact"/>
              <w:jc w:val="center"/>
              <w:rPr>
                <w:rFonts w:hint="default" w:ascii="Times New Roman" w:hAnsi="Times New Roman" w:eastAsia="方正仿宋_GBK" w:cs="Times New Roman"/>
                <w:color w:val="000000"/>
                <w:sz w:val="18"/>
                <w:szCs w:val="18"/>
              </w:rPr>
            </w:pPr>
          </w:p>
        </w:tc>
        <w:tc>
          <w:tcPr>
            <w:tcW w:w="750" w:type="dxa"/>
            <w:vMerge w:val="continue"/>
            <w:tcBorders>
              <w:tl2br w:val="nil"/>
              <w:tr2bl w:val="nil"/>
            </w:tcBorders>
            <w:tcMar>
              <w:top w:w="15" w:type="dxa"/>
              <w:left w:w="15" w:type="dxa"/>
              <w:right w:w="15" w:type="dxa"/>
            </w:tcMar>
            <w:vAlign w:val="center"/>
          </w:tcPr>
          <w:p>
            <w:pPr>
              <w:spacing w:line="310" w:lineRule="exact"/>
              <w:jc w:val="center"/>
              <w:rPr>
                <w:rFonts w:hint="default" w:ascii="Times New Roman" w:hAnsi="Times New Roman" w:eastAsia="方正仿宋_GBK" w:cs="Times New Roman"/>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default" w:ascii="Times New Roman" w:hAnsi="Times New Roman" w:eastAsia="方正仿宋_GBK" w:cs="Times New Roman"/>
              </w:rPr>
            </w:pPr>
          </w:p>
        </w:tc>
        <w:tc>
          <w:tcPr>
            <w:tcW w:w="2609" w:type="dxa"/>
            <w:vMerge w:val="continue"/>
            <w:tcBorders>
              <w:tl2br w:val="nil"/>
              <w:tr2bl w:val="nil"/>
            </w:tcBorders>
            <w:tcMar>
              <w:top w:w="15" w:type="dxa"/>
              <w:left w:w="15" w:type="dxa"/>
              <w:right w:w="15" w:type="dxa"/>
            </w:tcMar>
            <w:vAlign w:val="center"/>
          </w:tcPr>
          <w:p>
            <w:pPr>
              <w:spacing w:line="310" w:lineRule="exact"/>
              <w:jc w:val="center"/>
              <w:rPr>
                <w:rFonts w:hint="default" w:ascii="Times New Roman" w:hAnsi="Times New Roman" w:eastAsia="方正仿宋_GBK" w:cs="Times New Roman"/>
                <w:color w:val="000000"/>
                <w:sz w:val="18"/>
                <w:szCs w:val="18"/>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特定</w:t>
            </w:r>
          </w:p>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依申</w:t>
            </w:r>
          </w:p>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请</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top"/>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lang w:eastAsia="zh-CN"/>
              </w:rPr>
              <w:t>乡镇</w:t>
            </w:r>
            <w:r>
              <w:rPr>
                <w:rFonts w:hint="default" w:ascii="Times New Roman" w:hAnsi="Times New Roman" w:eastAsia="方正仿宋_GBK" w:cs="Times New Roman"/>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pPr>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sz w:val="18"/>
                <w:szCs w:val="18"/>
              </w:rPr>
              <w:t>行政强制</w:t>
            </w:r>
          </w:p>
        </w:tc>
        <w:tc>
          <w:tcPr>
            <w:tcW w:w="1171" w:type="dxa"/>
            <w:tcBorders>
              <w:tl2br w:val="nil"/>
              <w:tr2bl w:val="nil"/>
            </w:tcBorders>
            <w:tcMar>
              <w:top w:w="15" w:type="dxa"/>
              <w:left w:w="15" w:type="dxa"/>
              <w:right w:w="15" w:type="dxa"/>
            </w:tcMar>
            <w:vAlign w:val="center"/>
          </w:tcPr>
          <w:p>
            <w:pPr>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sz w:val="18"/>
                <w:szCs w:val="18"/>
              </w:rPr>
              <w:t>对擅自从事互联网服务经营活动场所的查封，专用工具、设备的扣押</w:t>
            </w:r>
          </w:p>
        </w:tc>
        <w:tc>
          <w:tcPr>
            <w:tcW w:w="2129" w:type="dxa"/>
            <w:tcBorders>
              <w:tl2br w:val="nil"/>
              <w:tr2bl w:val="nil"/>
            </w:tcBorders>
            <w:tcMar>
              <w:top w:w="15" w:type="dxa"/>
              <w:left w:w="15" w:type="dxa"/>
              <w:right w:w="15" w:type="dxa"/>
            </w:tcMar>
            <w:vAlign w:val="center"/>
          </w:tcPr>
          <w:p>
            <w:pPr>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sz w:val="18"/>
                <w:szCs w:val="18"/>
              </w:rPr>
              <w:t>1.主体信息；2.案由；3.处罚依据；4.处罚结果</w:t>
            </w:r>
          </w:p>
        </w:tc>
        <w:tc>
          <w:tcPr>
            <w:tcW w:w="2992" w:type="dxa"/>
            <w:tcBorders>
              <w:tl2br w:val="nil"/>
              <w:tr2bl w:val="nil"/>
            </w:tcBorders>
            <w:tcMar>
              <w:top w:w="15" w:type="dxa"/>
              <w:left w:w="15" w:type="dxa"/>
              <w:right w:w="15" w:type="dxa"/>
            </w:tcMar>
            <w:vAlign w:val="center"/>
          </w:tcPr>
          <w:p>
            <w:pPr>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sz w:val="18"/>
                <w:szCs w:val="18"/>
              </w:rPr>
              <w:t>1.《中华人民共和国政府信息公开条例》;2.《互联网上网服务营业场所管理条例》；3. 《国务院关于促进市场公平竞争维护市场正常秩序的若干意见》（国发</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2014</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20号）；4. 《国务院办公厅关于全面推行行政执法公示制度执法全过程记录制度重大执法决定法制审核制度的指导意见》（国发</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2018</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118号）</w:t>
            </w:r>
          </w:p>
        </w:tc>
        <w:tc>
          <w:tcPr>
            <w:tcW w:w="687" w:type="dxa"/>
            <w:tcBorders>
              <w:tl2br w:val="nil"/>
              <w:tr2bl w:val="nil"/>
            </w:tcBorders>
            <w:tcMar>
              <w:top w:w="15" w:type="dxa"/>
              <w:left w:w="15" w:type="dxa"/>
              <w:right w:w="15" w:type="dxa"/>
            </w:tcMar>
            <w:vAlign w:val="center"/>
          </w:tcPr>
          <w:p>
            <w:pPr>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sz w:val="18"/>
                <w:szCs w:val="18"/>
              </w:rPr>
              <w:t>信息形成或变更之日起20个工作日内公开</w:t>
            </w:r>
          </w:p>
        </w:tc>
        <w:tc>
          <w:tcPr>
            <w:tcW w:w="49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auto"/>
                <w:sz w:val="18"/>
                <w:szCs w:val="18"/>
              </w:rPr>
            </w:pPr>
            <w:r>
              <w:rPr>
                <w:rFonts w:hint="eastAsia" w:ascii="Times New Roman" w:hAnsi="Times New Roman" w:eastAsia="方正仿宋_GBK" w:cs="Times New Roman"/>
                <w:color w:val="auto"/>
                <w:sz w:val="18"/>
                <w:szCs w:val="18"/>
                <w:lang w:val="en-US" w:eastAsia="zh-CN"/>
              </w:rPr>
              <w:t>李宁静</w:t>
            </w:r>
          </w:p>
        </w:tc>
        <w:tc>
          <w:tcPr>
            <w:tcW w:w="750"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auto"/>
                <w:sz w:val="18"/>
                <w:szCs w:val="18"/>
              </w:rPr>
            </w:pPr>
            <w:r>
              <w:rPr>
                <w:rFonts w:hint="eastAsia" w:ascii="Times New Roman" w:hAnsi="Times New Roman" w:eastAsia="方正仿宋_GBK" w:cs="Times New Roman"/>
                <w:color w:val="auto"/>
                <w:sz w:val="18"/>
                <w:szCs w:val="18"/>
                <w:lang w:val="en-US" w:eastAsia="zh-CN"/>
              </w:rPr>
              <w:t>综合执法</w:t>
            </w:r>
            <w:r>
              <w:rPr>
                <w:rFonts w:hint="default" w:ascii="Times New Roman" w:hAnsi="Times New Roman" w:eastAsia="方正仿宋_GBK" w:cs="Times New Roman"/>
                <w:color w:val="auto"/>
                <w:sz w:val="18"/>
                <w:szCs w:val="18"/>
                <w:lang w:eastAsia="zh-CN"/>
              </w:rPr>
              <w:t>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b w:val="0"/>
                <w:color w:val="000000"/>
                <w:kern w:val="0"/>
                <w:sz w:val="18"/>
                <w:szCs w:val="18"/>
              </w:rPr>
            </w:pPr>
            <w:r>
              <w:rPr>
                <w:rFonts w:hint="eastAsia" w:ascii="Times New Roman" w:hAnsi="Times New Roman" w:eastAsia="方正仿宋_GBK" w:cs="Times New Roman"/>
                <w:b w:val="0"/>
                <w:color w:val="000000"/>
                <w:kern w:val="0"/>
                <w:sz w:val="18"/>
                <w:szCs w:val="18"/>
              </w:rPr>
              <w:t>■政府网站■公共服务中心（政务公开专区）■社区/企事业单位/村公示栏（电子屏）</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tc>
        <w:tc>
          <w:tcPr>
            <w:tcW w:w="910"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　</w:t>
            </w:r>
          </w:p>
          <w:p>
            <w:pPr>
              <w:overflowPunct w:val="0"/>
              <w:snapToGrid w:val="0"/>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2</w:t>
            </w:r>
          </w:p>
        </w:tc>
        <w:tc>
          <w:tcPr>
            <w:tcW w:w="602" w:type="dxa"/>
            <w:vMerge w:val="restart"/>
            <w:tcBorders>
              <w:tl2br w:val="nil"/>
              <w:tr2bl w:val="nil"/>
            </w:tcBorders>
            <w:tcMar>
              <w:top w:w="15" w:type="dxa"/>
              <w:left w:w="15" w:type="dxa"/>
              <w:right w:w="15" w:type="dxa"/>
            </w:tcMar>
            <w:vAlign w:val="center"/>
          </w:tcPr>
          <w:p>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公共服务</w:t>
            </w:r>
          </w:p>
        </w:tc>
        <w:tc>
          <w:tcPr>
            <w:tcW w:w="1171" w:type="dxa"/>
            <w:tcBorders>
              <w:tl2br w:val="nil"/>
              <w:tr2bl w:val="nil"/>
            </w:tcBorders>
            <w:tcMar>
              <w:top w:w="15" w:type="dxa"/>
              <w:left w:w="15" w:type="dxa"/>
              <w:right w:w="15" w:type="dxa"/>
            </w:tcMar>
            <w:vAlign w:val="center"/>
          </w:tcPr>
          <w:p>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公共文化机构免费开放信息</w:t>
            </w:r>
          </w:p>
        </w:tc>
        <w:tc>
          <w:tcPr>
            <w:tcW w:w="2129" w:type="dxa"/>
            <w:tcBorders>
              <w:tl2br w:val="nil"/>
              <w:tr2bl w:val="nil"/>
            </w:tcBorders>
            <w:tcMar>
              <w:top w:w="15" w:type="dxa"/>
              <w:left w:w="15" w:type="dxa"/>
              <w:right w:w="15" w:type="dxa"/>
            </w:tcMar>
            <w:vAlign w:val="center"/>
          </w:tcPr>
          <w:p>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1.机构名称；2.开放时间；3.机构地址；4.联系电话；5.临时停止开放信息。</w:t>
            </w:r>
          </w:p>
        </w:tc>
        <w:tc>
          <w:tcPr>
            <w:tcW w:w="2992" w:type="dxa"/>
            <w:tcBorders>
              <w:tl2br w:val="nil"/>
              <w:tr2bl w:val="nil"/>
            </w:tcBorders>
            <w:tcMar>
              <w:top w:w="15" w:type="dxa"/>
              <w:left w:w="15" w:type="dxa"/>
              <w:right w:w="15" w:type="dxa"/>
            </w:tcMar>
            <w:vAlign w:val="center"/>
          </w:tcPr>
          <w:p>
            <w:pPr>
              <w:snapToGrid w:val="0"/>
              <w:jc w:val="center"/>
              <w:rPr>
                <w:rFonts w:hint="default" w:ascii="Times New Roman" w:hAnsi="Times New Roman" w:eastAsia="方正仿宋_GBK" w:cs="Times New Roman"/>
                <w:color w:val="000000"/>
                <w:kern w:val="0"/>
                <w:sz w:val="18"/>
                <w:szCs w:val="18"/>
                <w:lang w:val="zh-CN" w:eastAsia="zh-CN" w:bidi="ar-SA"/>
              </w:rPr>
            </w:pPr>
            <w:r>
              <w:rPr>
                <w:rFonts w:hint="default" w:ascii="Times New Roman" w:hAnsi="Times New Roman" w:eastAsia="方正仿宋_GBK" w:cs="Times New Roman"/>
                <w:sz w:val="18"/>
                <w:szCs w:val="18"/>
              </w:rPr>
              <w:t>1．《中华人民共和国公共文化服务保障法》；2．《中华人民共和国政府信息公开条例》;3.《文化部财政部关于推进全国美术馆、公共图书馆、文化馆</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站</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免费开放工作的意见》（文财务发[20111]5号）；4.《文化部财政部关于做好城市社区（街道）文化中心免费开放工作的通知》（文财务函</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2016</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171号）</w:t>
            </w:r>
          </w:p>
        </w:tc>
        <w:tc>
          <w:tcPr>
            <w:tcW w:w="687" w:type="dxa"/>
            <w:tcBorders>
              <w:tl2br w:val="nil"/>
              <w:tr2bl w:val="nil"/>
            </w:tcBorders>
            <w:tcMar>
              <w:top w:w="15" w:type="dxa"/>
              <w:left w:w="15" w:type="dxa"/>
              <w:right w:w="15" w:type="dxa"/>
            </w:tcMar>
            <w:vAlign w:val="center"/>
          </w:tcPr>
          <w:p>
            <w:pPr>
              <w:snapToGrid w:val="0"/>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sz w:val="18"/>
                <w:szCs w:val="18"/>
              </w:rPr>
              <w:t>信息形成或变更之日起20个工作日内公开</w:t>
            </w:r>
          </w:p>
        </w:tc>
        <w:tc>
          <w:tcPr>
            <w:tcW w:w="49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李宁静</w:t>
            </w:r>
          </w:p>
        </w:tc>
        <w:tc>
          <w:tcPr>
            <w:tcW w:w="750"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auto"/>
                <w:sz w:val="18"/>
                <w:szCs w:val="18"/>
                <w:lang w:val="en-US" w:eastAsia="zh-CN"/>
              </w:rPr>
            </w:pPr>
            <w:r>
              <w:rPr>
                <w:rFonts w:hint="eastAsia" w:ascii="Times New Roman" w:hAnsi="Times New Roman" w:eastAsia="方正仿宋_GBK" w:cs="Times New Roman"/>
                <w:color w:val="auto"/>
                <w:sz w:val="18"/>
                <w:szCs w:val="18"/>
                <w:lang w:val="en-US" w:eastAsia="zh-CN"/>
              </w:rPr>
              <w:t>文化体育</w:t>
            </w:r>
            <w:r>
              <w:rPr>
                <w:rFonts w:hint="default" w:ascii="Times New Roman" w:hAnsi="Times New Roman" w:eastAsia="方正仿宋_GBK" w:cs="Times New Roman"/>
                <w:color w:val="auto"/>
                <w:sz w:val="18"/>
                <w:szCs w:val="18"/>
                <w:lang w:eastAsia="zh-CN"/>
              </w:rPr>
              <w:t>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b w:val="0"/>
                <w:color w:val="000000"/>
                <w:kern w:val="0"/>
                <w:sz w:val="18"/>
                <w:szCs w:val="18"/>
                <w:lang w:val="en-US" w:eastAsia="zh-CN"/>
              </w:rPr>
            </w:pPr>
            <w:r>
              <w:rPr>
                <w:rFonts w:hint="eastAsia" w:ascii="Times New Roman" w:hAnsi="Times New Roman" w:eastAsia="方正仿宋_GBK" w:cs="Times New Roman"/>
                <w:b w:val="0"/>
                <w:color w:val="000000"/>
                <w:kern w:val="0"/>
                <w:sz w:val="18"/>
                <w:szCs w:val="18"/>
              </w:rPr>
              <w:t>■政府网站■公共服务中心（政务公开专区）■社区/企事业单位/村公示栏（电子屏）</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2"/>
                <w:sz w:val="18"/>
                <w:szCs w:val="18"/>
                <w:lang w:val="en-US" w:eastAsia="zh-CN" w:bidi="ar-SA"/>
              </w:rPr>
            </w:pPr>
            <w:r>
              <w:rPr>
                <w:rFonts w:hint="default" w:ascii="Times New Roman" w:hAnsi="Times New Roman" w:eastAsia="方正仿宋_GBK"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3</w:t>
            </w:r>
          </w:p>
        </w:tc>
        <w:tc>
          <w:tcPr>
            <w:tcW w:w="602" w:type="dxa"/>
            <w:vMerge w:val="continue"/>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1171" w:type="dxa"/>
            <w:tcBorders>
              <w:tl2br w:val="nil"/>
              <w:tr2bl w:val="nil"/>
            </w:tcBorders>
            <w:tcMar>
              <w:top w:w="15" w:type="dxa"/>
              <w:left w:w="15" w:type="dxa"/>
              <w:right w:w="15" w:type="dxa"/>
            </w:tcMar>
            <w:vAlign w:val="center"/>
          </w:tcPr>
          <w:p>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特殊群体公共文化服务信息</w:t>
            </w:r>
          </w:p>
        </w:tc>
        <w:tc>
          <w:tcPr>
            <w:tcW w:w="2129" w:type="dxa"/>
            <w:tcBorders>
              <w:tl2br w:val="nil"/>
              <w:tr2bl w:val="nil"/>
            </w:tcBorders>
            <w:tcMar>
              <w:top w:w="15" w:type="dxa"/>
              <w:left w:w="15" w:type="dxa"/>
              <w:right w:w="15" w:type="dxa"/>
            </w:tcMar>
            <w:vAlign w:val="center"/>
          </w:tcPr>
          <w:p>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1.机构名称；2.开放时间；3.机构地址；4.联系电话；5.临时停止开放信息。</w:t>
            </w:r>
          </w:p>
        </w:tc>
        <w:tc>
          <w:tcPr>
            <w:tcW w:w="2992" w:type="dxa"/>
            <w:tcBorders>
              <w:tl2br w:val="nil"/>
              <w:tr2bl w:val="nil"/>
            </w:tcBorders>
            <w:tcMar>
              <w:top w:w="15" w:type="dxa"/>
              <w:left w:w="15" w:type="dxa"/>
              <w:right w:w="15" w:type="dxa"/>
            </w:tcMar>
            <w:vAlign w:val="center"/>
          </w:tcPr>
          <w:p>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1.《残疾人保障法》;2.《中华人民共和国政府信</w:t>
            </w:r>
            <w:r>
              <w:rPr>
                <w:rFonts w:hint="default" w:ascii="Times New Roman" w:hAnsi="Times New Roman" w:eastAsia="方正仿宋_GBK" w:cs="Times New Roman"/>
                <w:sz w:val="18"/>
                <w:szCs w:val="18"/>
                <w:lang w:eastAsia="zh-CN"/>
              </w:rPr>
              <w:t>息</w:t>
            </w:r>
            <w:r>
              <w:rPr>
                <w:rFonts w:hint="default" w:ascii="Times New Roman" w:hAnsi="Times New Roman" w:eastAsia="方正仿宋_GBK" w:cs="Times New Roman"/>
                <w:sz w:val="18"/>
                <w:szCs w:val="18"/>
              </w:rPr>
              <w:t>公开条例》；3.《中共中央办公厅</w:t>
            </w:r>
            <w:r>
              <w:rPr>
                <w:rFonts w:hint="default" w:ascii="Times New Roman" w:hAnsi="Times New Roman" w:eastAsia="方正仿宋_GBK" w:cs="Times New Roman"/>
                <w:sz w:val="18"/>
                <w:szCs w:val="18"/>
                <w:lang w:val="en"/>
              </w:rPr>
              <w:t xml:space="preserve"> </w:t>
            </w:r>
            <w:r>
              <w:rPr>
                <w:rFonts w:hint="default" w:ascii="Times New Roman" w:hAnsi="Times New Roman" w:eastAsia="方正仿宋_GBK" w:cs="Times New Roman"/>
                <w:sz w:val="18"/>
                <w:szCs w:val="18"/>
              </w:rPr>
              <w:t>国务院办公厅印发关于加快构建现代公共文化服务体系的意见》（中办发</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2015</w:t>
            </w:r>
            <w:r>
              <w:rPr>
                <w:rFonts w:hint="default"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2号）</w:t>
            </w:r>
          </w:p>
        </w:tc>
        <w:tc>
          <w:tcPr>
            <w:tcW w:w="687" w:type="dxa"/>
            <w:tcBorders>
              <w:tl2br w:val="nil"/>
              <w:tr2bl w:val="nil"/>
            </w:tcBorders>
            <w:tcMar>
              <w:top w:w="15" w:type="dxa"/>
              <w:left w:w="15" w:type="dxa"/>
              <w:right w:w="15" w:type="dxa"/>
            </w:tcMar>
            <w:vAlign w:val="center"/>
          </w:tcPr>
          <w:p>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信息形成或变更之日起20个工作日内公开</w:t>
            </w:r>
          </w:p>
        </w:tc>
        <w:tc>
          <w:tcPr>
            <w:tcW w:w="49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eastAsia" w:ascii="Times New Roman" w:hAnsi="Times New Roman" w:eastAsia="方正仿宋_GBK" w:cs="Times New Roman"/>
                <w:color w:val="auto"/>
                <w:sz w:val="18"/>
                <w:szCs w:val="18"/>
                <w:lang w:val="en-US" w:eastAsia="zh-CN"/>
              </w:rPr>
              <w:t>李宁静</w:t>
            </w:r>
          </w:p>
        </w:tc>
        <w:tc>
          <w:tcPr>
            <w:tcW w:w="750"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eastAsia" w:ascii="Times New Roman" w:hAnsi="Times New Roman" w:eastAsia="方正仿宋_GBK" w:cs="Times New Roman"/>
                <w:color w:val="auto"/>
                <w:sz w:val="18"/>
                <w:szCs w:val="18"/>
                <w:lang w:val="en-US" w:eastAsia="zh-CN"/>
              </w:rPr>
              <w:t>文化体育</w:t>
            </w:r>
            <w:r>
              <w:rPr>
                <w:rFonts w:hint="default" w:ascii="Times New Roman" w:hAnsi="Times New Roman" w:eastAsia="方正仿宋_GBK" w:cs="Times New Roman"/>
                <w:color w:val="auto"/>
                <w:sz w:val="18"/>
                <w:szCs w:val="18"/>
                <w:lang w:eastAsia="zh-CN"/>
              </w:rPr>
              <w:t>岗</w:t>
            </w:r>
          </w:p>
        </w:tc>
        <w:tc>
          <w:tcPr>
            <w:tcW w:w="962" w:type="dxa"/>
            <w:vAlign w:val="center"/>
          </w:tcPr>
          <w:p>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b w:val="0"/>
                <w:color w:val="000000"/>
                <w:kern w:val="0"/>
                <w:sz w:val="18"/>
                <w:szCs w:val="18"/>
                <w:lang w:val="en-US" w:eastAsia="zh-CN"/>
              </w:rPr>
            </w:pPr>
            <w:r>
              <w:rPr>
                <w:rFonts w:hint="eastAsia" w:ascii="Times New Roman" w:hAnsi="Times New Roman" w:eastAsia="方正仿宋_GBK" w:cs="Times New Roman"/>
                <w:b w:val="0"/>
                <w:color w:val="000000"/>
                <w:kern w:val="0"/>
                <w:sz w:val="18"/>
                <w:szCs w:val="18"/>
              </w:rPr>
              <w:t>■政府网站■公共服务中心（政务公开专区）■社区/企事业单位/村公示栏（电子屏）</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4</w:t>
            </w:r>
          </w:p>
        </w:tc>
        <w:tc>
          <w:tcPr>
            <w:tcW w:w="602" w:type="dxa"/>
            <w:vMerge w:val="continue"/>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1171" w:type="dxa"/>
            <w:tcBorders>
              <w:tl2br w:val="nil"/>
              <w:tr2bl w:val="nil"/>
            </w:tcBorders>
            <w:tcMar>
              <w:top w:w="15" w:type="dxa"/>
              <w:left w:w="15" w:type="dxa"/>
              <w:right w:w="15" w:type="dxa"/>
            </w:tcMar>
            <w:vAlign w:val="center"/>
          </w:tcPr>
          <w:p>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组织开展群众文化活动</w:t>
            </w:r>
          </w:p>
        </w:tc>
        <w:tc>
          <w:tcPr>
            <w:tcW w:w="2129" w:type="dxa"/>
            <w:tcBorders>
              <w:tl2br w:val="nil"/>
              <w:tr2bl w:val="nil"/>
            </w:tcBorders>
            <w:tcMar>
              <w:top w:w="15" w:type="dxa"/>
              <w:left w:w="15" w:type="dxa"/>
              <w:right w:w="15" w:type="dxa"/>
            </w:tcMar>
            <w:vAlign w:val="center"/>
          </w:tcPr>
          <w:p>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1.机构名称；2.开放时间；3.机构地址；4.联系电话；5.临时停止开放信息。</w:t>
            </w:r>
          </w:p>
        </w:tc>
        <w:tc>
          <w:tcPr>
            <w:tcW w:w="2992" w:type="dxa"/>
            <w:tcBorders>
              <w:tl2br w:val="nil"/>
              <w:tr2bl w:val="nil"/>
            </w:tcBorders>
            <w:tcMar>
              <w:top w:w="15" w:type="dxa"/>
              <w:left w:w="15" w:type="dxa"/>
              <w:right w:w="15" w:type="dxa"/>
            </w:tcMar>
            <w:vAlign w:val="center"/>
          </w:tcPr>
          <w:p>
            <w:pPr>
              <w:snapToGrid w:val="0"/>
              <w:jc w:val="center"/>
              <w:rPr>
                <w:rFonts w:hint="default" w:ascii="Times New Roman" w:hAnsi="Times New Roman" w:eastAsia="方正仿宋_GBK" w:cs="Times New Roman"/>
                <w:color w:val="000000"/>
                <w:kern w:val="0"/>
                <w:sz w:val="18"/>
                <w:szCs w:val="18"/>
                <w:lang w:val="zh-CN" w:eastAsia="zh-CN"/>
              </w:rPr>
            </w:pPr>
            <w:r>
              <w:rPr>
                <w:rFonts w:hint="default" w:ascii="Times New Roman" w:hAnsi="Times New Roman" w:eastAsia="方正仿宋_GBK" w:cs="Times New Roman"/>
                <w:sz w:val="18"/>
                <w:szCs w:val="18"/>
              </w:rPr>
              <w:t>1.《中华人民共和国政府信</w:t>
            </w:r>
            <w:r>
              <w:rPr>
                <w:rFonts w:hint="default" w:ascii="Times New Roman" w:hAnsi="Times New Roman" w:eastAsia="方正仿宋_GBK" w:cs="Times New Roman"/>
                <w:sz w:val="18"/>
                <w:szCs w:val="18"/>
                <w:lang w:eastAsia="zh-CN"/>
              </w:rPr>
              <w:t>息</w:t>
            </w:r>
            <w:r>
              <w:rPr>
                <w:rFonts w:hint="default" w:ascii="Times New Roman" w:hAnsi="Times New Roman" w:eastAsia="方正仿宋_GBK" w:cs="Times New Roman"/>
                <w:sz w:val="18"/>
                <w:szCs w:val="18"/>
              </w:rPr>
              <w:t>公开条例》；2.《文化馆服务标准》（GBT32939-2016）</w:t>
            </w:r>
          </w:p>
        </w:tc>
        <w:tc>
          <w:tcPr>
            <w:tcW w:w="687" w:type="dxa"/>
            <w:tcBorders>
              <w:tl2br w:val="nil"/>
              <w:tr2bl w:val="nil"/>
            </w:tcBorders>
            <w:tcMar>
              <w:top w:w="15" w:type="dxa"/>
              <w:left w:w="15" w:type="dxa"/>
              <w:right w:w="15" w:type="dxa"/>
            </w:tcMar>
            <w:vAlign w:val="center"/>
          </w:tcPr>
          <w:p>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信息形成或变更之日起20个工作日内公开</w:t>
            </w:r>
          </w:p>
        </w:tc>
        <w:tc>
          <w:tcPr>
            <w:tcW w:w="49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eastAsia" w:ascii="Times New Roman" w:hAnsi="Times New Roman" w:eastAsia="方正仿宋_GBK" w:cs="Times New Roman"/>
                <w:color w:val="auto"/>
                <w:sz w:val="18"/>
                <w:szCs w:val="18"/>
                <w:lang w:val="en-US" w:eastAsia="zh-CN"/>
              </w:rPr>
              <w:t>李宁静</w:t>
            </w:r>
          </w:p>
        </w:tc>
        <w:tc>
          <w:tcPr>
            <w:tcW w:w="750"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eastAsia" w:ascii="Times New Roman" w:hAnsi="Times New Roman" w:eastAsia="方正仿宋_GBK" w:cs="Times New Roman"/>
                <w:color w:val="auto"/>
                <w:sz w:val="18"/>
                <w:szCs w:val="18"/>
                <w:lang w:val="en-US" w:eastAsia="zh-CN"/>
              </w:rPr>
              <w:t>文化体育</w:t>
            </w:r>
            <w:r>
              <w:rPr>
                <w:rFonts w:hint="default" w:ascii="Times New Roman" w:hAnsi="Times New Roman" w:eastAsia="方正仿宋_GBK" w:cs="Times New Roman"/>
                <w:color w:val="auto"/>
                <w:sz w:val="18"/>
                <w:szCs w:val="18"/>
                <w:lang w:eastAsia="zh-CN"/>
              </w:rPr>
              <w:t>岗</w:t>
            </w:r>
          </w:p>
        </w:tc>
        <w:tc>
          <w:tcPr>
            <w:tcW w:w="962" w:type="dxa"/>
            <w:vAlign w:val="center"/>
          </w:tcPr>
          <w:p>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b w:val="0"/>
                <w:color w:val="000000"/>
                <w:kern w:val="0"/>
                <w:sz w:val="18"/>
                <w:szCs w:val="18"/>
                <w:lang w:val="en-US" w:eastAsia="zh-CN"/>
              </w:rPr>
            </w:pPr>
            <w:r>
              <w:rPr>
                <w:rFonts w:hint="eastAsia" w:ascii="Times New Roman" w:hAnsi="Times New Roman" w:eastAsia="方正仿宋_GBK" w:cs="Times New Roman"/>
                <w:b w:val="0"/>
                <w:color w:val="000000"/>
                <w:kern w:val="0"/>
                <w:sz w:val="18"/>
                <w:szCs w:val="18"/>
              </w:rPr>
              <w:t>■政府网站■公共服务中心（政务公开专区）■社区/企事业单位/村公示栏（电子屏）</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5</w:t>
            </w:r>
          </w:p>
        </w:tc>
        <w:tc>
          <w:tcPr>
            <w:tcW w:w="602" w:type="dxa"/>
            <w:vMerge w:val="continue"/>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1171" w:type="dxa"/>
            <w:tcBorders>
              <w:tl2br w:val="nil"/>
              <w:tr2bl w:val="nil"/>
            </w:tcBorders>
            <w:tcMar>
              <w:top w:w="15" w:type="dxa"/>
              <w:left w:w="15" w:type="dxa"/>
              <w:right w:w="15" w:type="dxa"/>
            </w:tcMar>
            <w:vAlign w:val="center"/>
          </w:tcPr>
          <w:p>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下基层辅导、出演、展览和指导基层群众文化活动</w:t>
            </w:r>
          </w:p>
        </w:tc>
        <w:tc>
          <w:tcPr>
            <w:tcW w:w="2129" w:type="dxa"/>
            <w:tcBorders>
              <w:tl2br w:val="nil"/>
              <w:tr2bl w:val="nil"/>
            </w:tcBorders>
            <w:tcMar>
              <w:top w:w="15" w:type="dxa"/>
              <w:left w:w="15" w:type="dxa"/>
              <w:right w:w="15" w:type="dxa"/>
            </w:tcMar>
            <w:vAlign w:val="center"/>
          </w:tcPr>
          <w:p>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1.活动时间；2.活动单位；3.活动地址；4.联系电话；5.临时停止活动信息</w:t>
            </w:r>
          </w:p>
        </w:tc>
        <w:tc>
          <w:tcPr>
            <w:tcW w:w="2992" w:type="dxa"/>
            <w:tcBorders>
              <w:tl2br w:val="nil"/>
              <w:tr2bl w:val="nil"/>
            </w:tcBorders>
            <w:tcMar>
              <w:top w:w="15" w:type="dxa"/>
              <w:left w:w="15" w:type="dxa"/>
              <w:right w:w="15" w:type="dxa"/>
            </w:tcMar>
            <w:vAlign w:val="center"/>
          </w:tcPr>
          <w:p>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1.《中华人民共和国政府信</w:t>
            </w:r>
            <w:r>
              <w:rPr>
                <w:rFonts w:hint="default" w:ascii="Times New Roman" w:hAnsi="Times New Roman" w:eastAsia="方正仿宋_GBK" w:cs="Times New Roman"/>
                <w:sz w:val="18"/>
                <w:szCs w:val="18"/>
                <w:lang w:eastAsia="zh-CN"/>
              </w:rPr>
              <w:t>息</w:t>
            </w:r>
            <w:r>
              <w:rPr>
                <w:rFonts w:hint="default" w:ascii="Times New Roman" w:hAnsi="Times New Roman" w:eastAsia="方正仿宋_GBK" w:cs="Times New Roman"/>
                <w:sz w:val="18"/>
                <w:szCs w:val="18"/>
              </w:rPr>
              <w:t>公开条例》；2.《文化馆服务标准》（GBT32939-2016）</w:t>
            </w:r>
          </w:p>
        </w:tc>
        <w:tc>
          <w:tcPr>
            <w:tcW w:w="687" w:type="dxa"/>
            <w:tcBorders>
              <w:tl2br w:val="nil"/>
              <w:tr2bl w:val="nil"/>
            </w:tcBorders>
            <w:tcMar>
              <w:top w:w="15" w:type="dxa"/>
              <w:left w:w="15" w:type="dxa"/>
              <w:right w:w="15" w:type="dxa"/>
            </w:tcMar>
            <w:vAlign w:val="center"/>
          </w:tcPr>
          <w:p>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信息形成或变更之日起20个工作日内公开</w:t>
            </w:r>
          </w:p>
        </w:tc>
        <w:tc>
          <w:tcPr>
            <w:tcW w:w="49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eastAsia" w:ascii="Times New Roman" w:hAnsi="Times New Roman" w:eastAsia="方正仿宋_GBK" w:cs="Times New Roman"/>
                <w:color w:val="auto"/>
                <w:sz w:val="18"/>
                <w:szCs w:val="18"/>
                <w:lang w:val="en-US" w:eastAsia="zh-CN"/>
              </w:rPr>
              <w:t>李宁静</w:t>
            </w:r>
          </w:p>
        </w:tc>
        <w:tc>
          <w:tcPr>
            <w:tcW w:w="750"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eastAsia" w:ascii="Times New Roman" w:hAnsi="Times New Roman" w:eastAsia="方正仿宋_GBK" w:cs="Times New Roman"/>
                <w:color w:val="auto"/>
                <w:sz w:val="18"/>
                <w:szCs w:val="18"/>
                <w:lang w:val="en-US" w:eastAsia="zh-CN"/>
              </w:rPr>
              <w:t>文化体育</w:t>
            </w:r>
            <w:r>
              <w:rPr>
                <w:rFonts w:hint="default" w:ascii="Times New Roman" w:hAnsi="Times New Roman" w:eastAsia="方正仿宋_GBK" w:cs="Times New Roman"/>
                <w:color w:val="auto"/>
                <w:sz w:val="18"/>
                <w:szCs w:val="18"/>
                <w:lang w:eastAsia="zh-CN"/>
              </w:rPr>
              <w:t>岗</w:t>
            </w:r>
          </w:p>
        </w:tc>
        <w:tc>
          <w:tcPr>
            <w:tcW w:w="962" w:type="dxa"/>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b w:val="0"/>
                <w:color w:val="000000"/>
                <w:kern w:val="0"/>
                <w:sz w:val="18"/>
                <w:szCs w:val="18"/>
                <w:lang w:val="en-US" w:eastAsia="zh-CN"/>
              </w:rPr>
            </w:pPr>
            <w:r>
              <w:rPr>
                <w:rFonts w:hint="eastAsia" w:ascii="Times New Roman" w:hAnsi="Times New Roman" w:eastAsia="方正仿宋_GBK" w:cs="Times New Roman"/>
                <w:b w:val="0"/>
                <w:color w:val="000000"/>
                <w:kern w:val="0"/>
                <w:sz w:val="18"/>
                <w:szCs w:val="18"/>
              </w:rPr>
              <w:t>■政府网站■公共服务中心（政务公开专区）■社区/企事业单位/村公示栏（电子屏）</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p>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6</w:t>
            </w:r>
          </w:p>
        </w:tc>
        <w:tc>
          <w:tcPr>
            <w:tcW w:w="602" w:type="dxa"/>
            <w:vMerge w:val="continue"/>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1171" w:type="dxa"/>
            <w:vAlign w:val="center"/>
          </w:tcPr>
          <w:p>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举办各类展览、讲座信息</w:t>
            </w:r>
          </w:p>
        </w:tc>
        <w:tc>
          <w:tcPr>
            <w:tcW w:w="2129" w:type="dxa"/>
            <w:vAlign w:val="center"/>
          </w:tcPr>
          <w:p>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1.活动时间；2.活动单位；3.活动地址；4.联系电话；5.临时停止活动信息</w:t>
            </w:r>
          </w:p>
        </w:tc>
        <w:tc>
          <w:tcPr>
            <w:tcW w:w="2992" w:type="dxa"/>
            <w:vAlign w:val="center"/>
          </w:tcPr>
          <w:p>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1.《中华人民共和国政府信</w:t>
            </w:r>
            <w:r>
              <w:rPr>
                <w:rFonts w:hint="default" w:ascii="Times New Roman" w:hAnsi="Times New Roman" w:eastAsia="方正仿宋_GBK" w:cs="Times New Roman"/>
                <w:sz w:val="18"/>
                <w:szCs w:val="18"/>
                <w:lang w:eastAsia="zh-CN"/>
              </w:rPr>
              <w:t>息</w:t>
            </w:r>
            <w:r>
              <w:rPr>
                <w:rFonts w:hint="default" w:ascii="Times New Roman" w:hAnsi="Times New Roman" w:eastAsia="方正仿宋_GBK" w:cs="Times New Roman"/>
                <w:sz w:val="18"/>
                <w:szCs w:val="18"/>
              </w:rPr>
              <w:t>公开条例》；2.《乡镇综合文化站管理办法》（中华人民共和国文化部令第48号）</w:t>
            </w:r>
          </w:p>
        </w:tc>
        <w:tc>
          <w:tcPr>
            <w:tcW w:w="687" w:type="dxa"/>
            <w:vAlign w:val="center"/>
          </w:tcPr>
          <w:p>
            <w:pPr>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sz w:val="18"/>
                <w:szCs w:val="18"/>
              </w:rPr>
              <w:t>信息形成或变更之日起20个工作日内公开</w:t>
            </w:r>
          </w:p>
        </w:tc>
        <w:tc>
          <w:tcPr>
            <w:tcW w:w="492" w:type="dxa"/>
            <w:vAlign w:val="center"/>
          </w:tcPr>
          <w:p>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eastAsia" w:ascii="Times New Roman" w:hAnsi="Times New Roman" w:eastAsia="方正仿宋_GBK" w:cs="Times New Roman"/>
                <w:color w:val="auto"/>
                <w:sz w:val="18"/>
                <w:szCs w:val="18"/>
                <w:lang w:val="en-US" w:eastAsia="zh-CN"/>
              </w:rPr>
              <w:t>李宁静</w:t>
            </w:r>
          </w:p>
        </w:tc>
        <w:tc>
          <w:tcPr>
            <w:tcW w:w="750" w:type="dxa"/>
            <w:vAlign w:val="center"/>
          </w:tcPr>
          <w:p>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eastAsia" w:ascii="Times New Roman" w:hAnsi="Times New Roman" w:eastAsia="方正仿宋_GBK" w:cs="Times New Roman"/>
                <w:color w:val="auto"/>
                <w:sz w:val="18"/>
                <w:szCs w:val="18"/>
                <w:lang w:val="en-US" w:eastAsia="zh-CN"/>
              </w:rPr>
              <w:t>文化体育</w:t>
            </w:r>
            <w:r>
              <w:rPr>
                <w:rFonts w:hint="default" w:ascii="Times New Roman" w:hAnsi="Times New Roman" w:eastAsia="方正仿宋_GBK" w:cs="Times New Roman"/>
                <w:color w:val="auto"/>
                <w:sz w:val="18"/>
                <w:szCs w:val="18"/>
                <w:lang w:eastAsia="zh-CN"/>
              </w:rPr>
              <w:t>岗</w:t>
            </w:r>
          </w:p>
        </w:tc>
        <w:tc>
          <w:tcPr>
            <w:tcW w:w="962" w:type="dxa"/>
            <w:vAlign w:val="center"/>
          </w:tcPr>
          <w:p>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vAlign w:val="center"/>
          </w:tcPr>
          <w:p>
            <w:pPr>
              <w:overflowPunct w:val="0"/>
              <w:snapToGrid w:val="0"/>
              <w:jc w:val="center"/>
              <w:rPr>
                <w:rFonts w:hint="default" w:ascii="Times New Roman" w:hAnsi="Times New Roman" w:eastAsia="方正仿宋_GBK" w:cs="Times New Roman"/>
                <w:b w:val="0"/>
                <w:color w:val="000000"/>
                <w:kern w:val="0"/>
                <w:sz w:val="18"/>
                <w:szCs w:val="18"/>
                <w:lang w:val="en-US" w:eastAsia="zh-CN"/>
              </w:rPr>
            </w:pPr>
            <w:r>
              <w:rPr>
                <w:rFonts w:hint="eastAsia" w:ascii="Times New Roman" w:hAnsi="Times New Roman" w:eastAsia="方正仿宋_GBK" w:cs="Times New Roman"/>
                <w:b w:val="0"/>
                <w:color w:val="000000"/>
                <w:kern w:val="0"/>
                <w:sz w:val="18"/>
                <w:szCs w:val="18"/>
              </w:rPr>
              <w:t>■政府网站■公共服务中心（政务公开专区）■社区/企事业单位/村公示栏（电子屏）</w:t>
            </w:r>
          </w:p>
        </w:tc>
        <w:tc>
          <w:tcPr>
            <w:tcW w:w="622"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73"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506"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57"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910"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7</w:t>
            </w:r>
          </w:p>
        </w:tc>
        <w:tc>
          <w:tcPr>
            <w:tcW w:w="602" w:type="dxa"/>
            <w:vMerge w:val="continue"/>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1171" w:type="dxa"/>
            <w:vAlign w:val="center"/>
          </w:tcPr>
          <w:p>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辅导和培训基层文化骨干</w:t>
            </w:r>
          </w:p>
        </w:tc>
        <w:tc>
          <w:tcPr>
            <w:tcW w:w="2129" w:type="dxa"/>
            <w:vAlign w:val="center"/>
          </w:tcPr>
          <w:p>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1.培训时间；2.培训单位；3.培训地址；4.联系电话；5.临时停止活动信息</w:t>
            </w:r>
          </w:p>
        </w:tc>
        <w:tc>
          <w:tcPr>
            <w:tcW w:w="2992" w:type="dxa"/>
            <w:vAlign w:val="center"/>
          </w:tcPr>
          <w:p>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1.《中华人民共和国政府信</w:t>
            </w:r>
            <w:r>
              <w:rPr>
                <w:rFonts w:hint="default" w:ascii="Times New Roman" w:hAnsi="Times New Roman" w:eastAsia="方正仿宋_GBK" w:cs="Times New Roman"/>
                <w:sz w:val="18"/>
                <w:szCs w:val="18"/>
                <w:lang w:eastAsia="zh-CN"/>
              </w:rPr>
              <w:t>息</w:t>
            </w:r>
            <w:r>
              <w:rPr>
                <w:rFonts w:hint="default" w:ascii="Times New Roman" w:hAnsi="Times New Roman" w:eastAsia="方正仿宋_GBK" w:cs="Times New Roman"/>
                <w:sz w:val="18"/>
                <w:szCs w:val="18"/>
              </w:rPr>
              <w:t>公开条例》；2.《乡镇综合文化站管理办法》（中华人民共和国文化部令第49号）</w:t>
            </w:r>
          </w:p>
        </w:tc>
        <w:tc>
          <w:tcPr>
            <w:tcW w:w="687" w:type="dxa"/>
            <w:vAlign w:val="center"/>
          </w:tcPr>
          <w:p>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信息形成或变更之日起20个工作日内公开</w:t>
            </w:r>
          </w:p>
        </w:tc>
        <w:tc>
          <w:tcPr>
            <w:tcW w:w="492" w:type="dxa"/>
            <w:vAlign w:val="center"/>
          </w:tcPr>
          <w:p>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eastAsia" w:ascii="Times New Roman" w:hAnsi="Times New Roman" w:eastAsia="方正仿宋_GBK" w:cs="Times New Roman"/>
                <w:color w:val="auto"/>
                <w:sz w:val="18"/>
                <w:szCs w:val="18"/>
                <w:lang w:val="en-US" w:eastAsia="zh-CN"/>
              </w:rPr>
              <w:t>李宁静</w:t>
            </w:r>
          </w:p>
        </w:tc>
        <w:tc>
          <w:tcPr>
            <w:tcW w:w="750" w:type="dxa"/>
            <w:vAlign w:val="center"/>
          </w:tcPr>
          <w:p>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eastAsia" w:ascii="Times New Roman" w:hAnsi="Times New Roman" w:eastAsia="方正仿宋_GBK" w:cs="Times New Roman"/>
                <w:color w:val="auto"/>
                <w:sz w:val="18"/>
                <w:szCs w:val="18"/>
                <w:lang w:val="en-US" w:eastAsia="zh-CN"/>
              </w:rPr>
              <w:t>文化体育</w:t>
            </w:r>
            <w:r>
              <w:rPr>
                <w:rFonts w:hint="default" w:ascii="Times New Roman" w:hAnsi="Times New Roman" w:eastAsia="方正仿宋_GBK" w:cs="Times New Roman"/>
                <w:color w:val="auto"/>
                <w:sz w:val="18"/>
                <w:szCs w:val="18"/>
                <w:lang w:eastAsia="zh-CN"/>
              </w:rPr>
              <w:t>岗</w:t>
            </w:r>
          </w:p>
        </w:tc>
        <w:tc>
          <w:tcPr>
            <w:tcW w:w="962" w:type="dxa"/>
            <w:vAlign w:val="center"/>
          </w:tcPr>
          <w:p>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vAlign w:val="center"/>
          </w:tcPr>
          <w:p>
            <w:pPr>
              <w:overflowPunct w:val="0"/>
              <w:snapToGrid w:val="0"/>
              <w:jc w:val="center"/>
              <w:rPr>
                <w:rFonts w:hint="default" w:ascii="Times New Roman" w:hAnsi="Times New Roman" w:eastAsia="方正仿宋_GBK" w:cs="Times New Roman"/>
                <w:b w:val="0"/>
                <w:color w:val="000000"/>
                <w:kern w:val="0"/>
                <w:sz w:val="18"/>
                <w:szCs w:val="18"/>
                <w:lang w:val="en-US" w:eastAsia="zh-CN"/>
              </w:rPr>
            </w:pPr>
            <w:r>
              <w:rPr>
                <w:rFonts w:hint="eastAsia" w:ascii="Times New Roman" w:hAnsi="Times New Roman" w:eastAsia="方正仿宋_GBK" w:cs="Times New Roman"/>
                <w:b w:val="0"/>
                <w:color w:val="000000"/>
                <w:kern w:val="0"/>
                <w:sz w:val="18"/>
                <w:szCs w:val="18"/>
              </w:rPr>
              <w:t>■政府网站■公共服务中心（政务公开专区）■社区/企事业单位/村公示栏（电子屏）</w:t>
            </w:r>
          </w:p>
        </w:tc>
        <w:tc>
          <w:tcPr>
            <w:tcW w:w="622"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73"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506"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57"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910"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8</w:t>
            </w:r>
          </w:p>
        </w:tc>
        <w:tc>
          <w:tcPr>
            <w:tcW w:w="602" w:type="dxa"/>
            <w:vMerge w:val="continue"/>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1171" w:type="dxa"/>
            <w:vAlign w:val="center"/>
          </w:tcPr>
          <w:p>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非物质文化遗产展示传播活动</w:t>
            </w:r>
          </w:p>
        </w:tc>
        <w:tc>
          <w:tcPr>
            <w:tcW w:w="2129" w:type="dxa"/>
            <w:vAlign w:val="center"/>
          </w:tcPr>
          <w:p>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1.活动时间；2.活动单位；3.活动地址；4.联系电话；5.临时停止活动信息</w:t>
            </w:r>
          </w:p>
        </w:tc>
        <w:tc>
          <w:tcPr>
            <w:tcW w:w="2992" w:type="dxa"/>
            <w:vAlign w:val="center"/>
          </w:tcPr>
          <w:p>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1.《中华人民共和国非物质</w:t>
            </w:r>
            <w:r>
              <w:rPr>
                <w:rFonts w:hint="default" w:ascii="Times New Roman" w:hAnsi="Times New Roman" w:eastAsia="方正仿宋_GBK" w:cs="Times New Roman"/>
                <w:sz w:val="18"/>
                <w:szCs w:val="18"/>
                <w:lang w:eastAsia="zh-CN"/>
              </w:rPr>
              <w:t>文化</w:t>
            </w:r>
            <w:r>
              <w:rPr>
                <w:rFonts w:hint="default" w:ascii="Times New Roman" w:hAnsi="Times New Roman" w:eastAsia="方正仿宋_GBK" w:cs="Times New Roman"/>
                <w:sz w:val="18"/>
                <w:szCs w:val="18"/>
              </w:rPr>
              <w:t>遗产法》；2.《中华人民共和国政府信</w:t>
            </w:r>
            <w:r>
              <w:rPr>
                <w:rFonts w:hint="default" w:ascii="Times New Roman" w:hAnsi="Times New Roman" w:eastAsia="方正仿宋_GBK" w:cs="Times New Roman"/>
                <w:sz w:val="18"/>
                <w:szCs w:val="18"/>
                <w:lang w:eastAsia="zh-CN"/>
              </w:rPr>
              <w:t>息</w:t>
            </w:r>
            <w:r>
              <w:rPr>
                <w:rFonts w:hint="default" w:ascii="Times New Roman" w:hAnsi="Times New Roman" w:eastAsia="方正仿宋_GBK" w:cs="Times New Roman"/>
                <w:sz w:val="18"/>
                <w:szCs w:val="18"/>
              </w:rPr>
              <w:t>公开条例》；</w:t>
            </w:r>
          </w:p>
        </w:tc>
        <w:tc>
          <w:tcPr>
            <w:tcW w:w="687" w:type="dxa"/>
            <w:vAlign w:val="center"/>
          </w:tcPr>
          <w:p>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信息形成或变更之日起20个工作日内公开</w:t>
            </w:r>
          </w:p>
        </w:tc>
        <w:tc>
          <w:tcPr>
            <w:tcW w:w="492" w:type="dxa"/>
            <w:vAlign w:val="center"/>
          </w:tcPr>
          <w:p>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eastAsia" w:ascii="Times New Roman" w:hAnsi="Times New Roman" w:eastAsia="方正仿宋_GBK" w:cs="Times New Roman"/>
                <w:color w:val="auto"/>
                <w:sz w:val="18"/>
                <w:szCs w:val="18"/>
                <w:lang w:val="en-US" w:eastAsia="zh-CN"/>
              </w:rPr>
              <w:t>李宁静</w:t>
            </w:r>
          </w:p>
        </w:tc>
        <w:tc>
          <w:tcPr>
            <w:tcW w:w="750" w:type="dxa"/>
            <w:vAlign w:val="center"/>
          </w:tcPr>
          <w:p>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eastAsia" w:ascii="Times New Roman" w:hAnsi="Times New Roman" w:eastAsia="方正仿宋_GBK" w:cs="Times New Roman"/>
                <w:color w:val="auto"/>
                <w:sz w:val="18"/>
                <w:szCs w:val="18"/>
                <w:lang w:val="en-US" w:eastAsia="zh-CN"/>
              </w:rPr>
              <w:t>文化体育</w:t>
            </w:r>
            <w:r>
              <w:rPr>
                <w:rFonts w:hint="default" w:ascii="Times New Roman" w:hAnsi="Times New Roman" w:eastAsia="方正仿宋_GBK" w:cs="Times New Roman"/>
                <w:color w:val="auto"/>
                <w:sz w:val="18"/>
                <w:szCs w:val="18"/>
                <w:lang w:eastAsia="zh-CN"/>
              </w:rPr>
              <w:t>岗</w:t>
            </w:r>
          </w:p>
        </w:tc>
        <w:tc>
          <w:tcPr>
            <w:tcW w:w="962" w:type="dxa"/>
            <w:vAlign w:val="center"/>
          </w:tcPr>
          <w:p>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vAlign w:val="center"/>
          </w:tcPr>
          <w:p>
            <w:pPr>
              <w:overflowPunct w:val="0"/>
              <w:snapToGrid w:val="0"/>
              <w:jc w:val="center"/>
              <w:rPr>
                <w:rFonts w:hint="default" w:ascii="Times New Roman" w:hAnsi="Times New Roman" w:eastAsia="方正仿宋_GBK" w:cs="Times New Roman"/>
                <w:b w:val="0"/>
                <w:color w:val="000000"/>
                <w:kern w:val="0"/>
                <w:sz w:val="18"/>
                <w:szCs w:val="18"/>
                <w:lang w:val="en-US" w:eastAsia="zh-CN"/>
              </w:rPr>
            </w:pPr>
            <w:r>
              <w:rPr>
                <w:rFonts w:hint="eastAsia" w:ascii="Times New Roman" w:hAnsi="Times New Roman" w:eastAsia="方正仿宋_GBK" w:cs="Times New Roman"/>
                <w:b w:val="0"/>
                <w:color w:val="000000"/>
                <w:kern w:val="0"/>
                <w:sz w:val="18"/>
                <w:szCs w:val="18"/>
              </w:rPr>
              <w:t>■政府网站■公共服务中心（政务公开专区）■社区/企事业单位/村公示栏（电子屏）</w:t>
            </w:r>
          </w:p>
        </w:tc>
        <w:tc>
          <w:tcPr>
            <w:tcW w:w="622"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73"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506"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57"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910"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9</w:t>
            </w:r>
          </w:p>
        </w:tc>
        <w:tc>
          <w:tcPr>
            <w:tcW w:w="602" w:type="dxa"/>
            <w:vMerge w:val="continue"/>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1171" w:type="dxa"/>
            <w:vAlign w:val="center"/>
          </w:tcPr>
          <w:p>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文博单位名录</w:t>
            </w:r>
          </w:p>
        </w:tc>
        <w:tc>
          <w:tcPr>
            <w:tcW w:w="2129" w:type="dxa"/>
            <w:vAlign w:val="center"/>
          </w:tcPr>
          <w:p>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文物保护管理机构和博物馆名录</w:t>
            </w:r>
          </w:p>
        </w:tc>
        <w:tc>
          <w:tcPr>
            <w:tcW w:w="2992" w:type="dxa"/>
            <w:vAlign w:val="center"/>
          </w:tcPr>
          <w:p>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《中华人民共和国政府信</w:t>
            </w:r>
            <w:r>
              <w:rPr>
                <w:rFonts w:hint="default" w:ascii="Times New Roman" w:hAnsi="Times New Roman" w:eastAsia="方正仿宋_GBK" w:cs="Times New Roman"/>
                <w:sz w:val="18"/>
                <w:szCs w:val="18"/>
                <w:lang w:eastAsia="zh-CN"/>
              </w:rPr>
              <w:t>息</w:t>
            </w:r>
            <w:r>
              <w:rPr>
                <w:rFonts w:hint="default" w:ascii="Times New Roman" w:hAnsi="Times New Roman" w:eastAsia="方正仿宋_GBK" w:cs="Times New Roman"/>
                <w:sz w:val="18"/>
                <w:szCs w:val="18"/>
              </w:rPr>
              <w:t>公开条例》；</w:t>
            </w:r>
          </w:p>
        </w:tc>
        <w:tc>
          <w:tcPr>
            <w:tcW w:w="687" w:type="dxa"/>
            <w:vAlign w:val="center"/>
          </w:tcPr>
          <w:p>
            <w:pPr>
              <w:snapToGrid w:val="0"/>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信息形成或变更之日起20个工作日内公开</w:t>
            </w:r>
          </w:p>
        </w:tc>
        <w:tc>
          <w:tcPr>
            <w:tcW w:w="492" w:type="dxa"/>
            <w:vAlign w:val="center"/>
          </w:tcPr>
          <w:p>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eastAsia" w:ascii="Times New Roman" w:hAnsi="Times New Roman" w:eastAsia="方正仿宋_GBK" w:cs="Times New Roman"/>
                <w:color w:val="auto"/>
                <w:sz w:val="18"/>
                <w:szCs w:val="18"/>
                <w:lang w:val="en-US" w:eastAsia="zh-CN"/>
              </w:rPr>
              <w:t>李宁静</w:t>
            </w:r>
          </w:p>
        </w:tc>
        <w:tc>
          <w:tcPr>
            <w:tcW w:w="750" w:type="dxa"/>
            <w:vAlign w:val="center"/>
          </w:tcPr>
          <w:p>
            <w:pPr>
              <w:overflowPunct w:val="0"/>
              <w:snapToGrid w:val="0"/>
              <w:jc w:val="center"/>
              <w:rPr>
                <w:rFonts w:hint="default" w:ascii="Times New Roman" w:hAnsi="Times New Roman" w:eastAsia="方正仿宋_GBK" w:cs="Times New Roman"/>
                <w:color w:val="auto"/>
                <w:kern w:val="0"/>
                <w:sz w:val="18"/>
                <w:szCs w:val="18"/>
                <w:lang w:val="en-US" w:eastAsia="zh-CN"/>
              </w:rPr>
            </w:pPr>
            <w:r>
              <w:rPr>
                <w:rFonts w:hint="eastAsia" w:ascii="Times New Roman" w:hAnsi="Times New Roman" w:eastAsia="方正仿宋_GBK" w:cs="Times New Roman"/>
                <w:color w:val="auto"/>
                <w:sz w:val="18"/>
                <w:szCs w:val="18"/>
                <w:lang w:val="en-US" w:eastAsia="zh-CN"/>
              </w:rPr>
              <w:t>文化体育</w:t>
            </w:r>
            <w:r>
              <w:rPr>
                <w:rFonts w:hint="default" w:ascii="Times New Roman" w:hAnsi="Times New Roman" w:eastAsia="方正仿宋_GBK" w:cs="Times New Roman"/>
                <w:color w:val="auto"/>
                <w:sz w:val="18"/>
                <w:szCs w:val="18"/>
                <w:lang w:eastAsia="zh-CN"/>
              </w:rPr>
              <w:t>岗</w:t>
            </w:r>
          </w:p>
        </w:tc>
        <w:tc>
          <w:tcPr>
            <w:tcW w:w="962" w:type="dxa"/>
            <w:vAlign w:val="center"/>
          </w:tcPr>
          <w:p>
            <w:pPr>
              <w:overflowPunct w:val="0"/>
              <w:snapToGrid w:val="0"/>
              <w:jc w:val="center"/>
              <w:rPr>
                <w:rFonts w:hint="default" w:ascii="Times New Roman" w:hAnsi="Times New Roman" w:eastAsia="方正仿宋_GBK" w:cs="Times New Roman"/>
              </w:rPr>
            </w:pPr>
            <w:r>
              <w:rPr>
                <w:rFonts w:hint="default" w:ascii="Times New Roman" w:hAnsi="Times New Roman" w:eastAsia="方正仿宋_GBK" w:cs="Times New Roman"/>
                <w:b w:val="0"/>
                <w:color w:val="000000"/>
                <w:kern w:val="0"/>
                <w:sz w:val="18"/>
                <w:szCs w:val="18"/>
              </w:rPr>
              <w:t>乡镇人民政府</w:t>
            </w:r>
          </w:p>
        </w:tc>
        <w:tc>
          <w:tcPr>
            <w:tcW w:w="2609" w:type="dxa"/>
            <w:vAlign w:val="center"/>
          </w:tcPr>
          <w:p>
            <w:pPr>
              <w:overflowPunct w:val="0"/>
              <w:snapToGrid w:val="0"/>
              <w:jc w:val="center"/>
              <w:rPr>
                <w:rFonts w:hint="default" w:ascii="Times New Roman" w:hAnsi="Times New Roman" w:eastAsia="方正仿宋_GBK" w:cs="Times New Roman"/>
                <w:b w:val="0"/>
                <w:color w:val="000000"/>
                <w:kern w:val="0"/>
                <w:sz w:val="18"/>
                <w:szCs w:val="18"/>
                <w:lang w:val="en-US" w:eastAsia="zh-CN"/>
              </w:rPr>
            </w:pPr>
            <w:r>
              <w:rPr>
                <w:rFonts w:hint="eastAsia" w:ascii="Times New Roman" w:hAnsi="Times New Roman" w:eastAsia="方正仿宋_GBK" w:cs="Times New Roman"/>
                <w:b w:val="0"/>
                <w:color w:val="000000"/>
                <w:kern w:val="0"/>
                <w:sz w:val="18"/>
                <w:szCs w:val="18"/>
              </w:rPr>
              <w:t>■政府网站■公共服务中心（政务公开专区）■社区/企事业单位/村公示栏（电子屏）</w:t>
            </w:r>
          </w:p>
        </w:tc>
        <w:tc>
          <w:tcPr>
            <w:tcW w:w="622"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73"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506"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c>
          <w:tcPr>
            <w:tcW w:w="557"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p>
        </w:tc>
        <w:tc>
          <w:tcPr>
            <w:tcW w:w="910" w:type="dxa"/>
            <w:vAlign w:val="center"/>
          </w:tcPr>
          <w:p>
            <w:pPr>
              <w:overflowPunct w:val="0"/>
              <w:snapToGrid w:val="0"/>
              <w:jc w:val="center"/>
              <w:rPr>
                <w:rFonts w:hint="default"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YWNiZWU3NzdhNGU5NmE2ZTFhNDc0NmExYWU3MWIifQ=="/>
    <w:docVar w:name="KSO_WPS_MARK_KEY" w:val="f7de1d11-88a0-41a7-94df-851aeedcb6fa"/>
  </w:docVars>
  <w:rsids>
    <w:rsidRoot w:val="0052371F"/>
    <w:rsid w:val="0052371F"/>
    <w:rsid w:val="0E1421A8"/>
    <w:rsid w:val="22164BAE"/>
    <w:rsid w:val="249A1A4C"/>
    <w:rsid w:val="2BC977A3"/>
    <w:rsid w:val="30110DE2"/>
    <w:rsid w:val="437217FE"/>
    <w:rsid w:val="4CB91D57"/>
    <w:rsid w:val="5EBF8D56"/>
    <w:rsid w:val="5FFB345A"/>
    <w:rsid w:val="6C9D38C9"/>
    <w:rsid w:val="733FEFD8"/>
    <w:rsid w:val="746A7965"/>
    <w:rsid w:val="7C4A0480"/>
    <w:rsid w:val="7FD86850"/>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1751</Words>
  <Characters>1874</Characters>
  <Lines>24</Lines>
  <Paragraphs>7</Paragraphs>
  <TotalTime>2</TotalTime>
  <ScaleCrop>false</ScaleCrop>
  <LinksUpToDate>false</LinksUpToDate>
  <CharactersWithSpaces>7687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2023-10-14T06:18:00Z</dcterms:created>
  <dc:creator>Administrator</dc:creator>
  <cp:lastModifiedBy>user</cp:lastModifiedBy>
  <dcterms:modified xsi:type="dcterms:W3CDTF">2025-02-12T17:49:40Z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27CDE5B1053F43E6A5CA928CEEEFEC79_13</vt:lpwstr>
  </property>
  <property fmtid="{D5CDD505-2E9C-101B-9397-08002B2CF9AE}" pid="4" name="KSOTemplateDocerSaveRecord">
    <vt:lpwstr>eyJoZGlkIjoiMDgxYWNiZWU3NzdhNGU5NmE2ZTFhNDc0NmExYWU3MWIiLCJ1c2VySWQiOiI1OTE1MTgxODUifQ==</vt:lpwstr>
  </property>
</Properties>
</file>