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乾丰镇</w:t>
      </w:r>
      <w:r>
        <w:rPr>
          <w:rFonts w:hint="eastAsia" w:ascii="方正小标宋_GBK" w:hAnsi="方正小标宋_GBK" w:eastAsia="方正小标宋_GBK" w:cs="方正小标宋_GBK"/>
          <w:color w:val="000000"/>
          <w:kern w:val="0"/>
          <w:sz w:val="44"/>
          <w:szCs w:val="44"/>
          <w:lang w:eastAsia="zh-CN"/>
        </w:rPr>
        <w:t>人民政府公共法律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bookmarkStart w:id="0" w:name="_GoBack"/>
      <w:bookmarkEnd w:id="0"/>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566"/>
        <w:gridCol w:w="665"/>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566"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238"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p>
        </w:tc>
        <w:tc>
          <w:tcPr>
            <w:tcW w:w="2566"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65"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000000"/>
                <w:kern w:val="0"/>
                <w:sz w:val="18"/>
                <w:szCs w:val="18"/>
              </w:rPr>
            </w:pPr>
          </w:p>
        </w:tc>
        <w:tc>
          <w:tcPr>
            <w:tcW w:w="299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000000"/>
                <w:kern w:val="0"/>
                <w:sz w:val="18"/>
                <w:szCs w:val="18"/>
              </w:rPr>
            </w:pP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auto"/>
                <w:sz w:val="18"/>
                <w:szCs w:val="18"/>
              </w:rPr>
            </w:pPr>
            <w:r>
              <w:rPr>
                <w:rFonts w:hint="eastAsia" w:ascii="宋体" w:hAnsi="宋体" w:eastAsia="宋体" w:cs="宋体"/>
                <w:color w:val="auto"/>
                <w:sz w:val="18"/>
                <w:szCs w:val="18"/>
                <w:lang w:val="en-US" w:eastAsia="zh-CN"/>
              </w:rPr>
              <w:t>罗浪</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auto"/>
                <w:sz w:val="18"/>
                <w:szCs w:val="18"/>
                <w:lang w:val="en-US"/>
              </w:rPr>
            </w:pPr>
            <w:r>
              <w:rPr>
                <w:rFonts w:hint="eastAsia" w:ascii="宋体" w:hAnsi="宋体" w:eastAsia="宋体" w:cs="宋体"/>
                <w:color w:val="auto"/>
                <w:sz w:val="18"/>
                <w:szCs w:val="18"/>
                <w:lang w:eastAsia="zh-CN"/>
              </w:rPr>
              <w:t>法治建设岗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rPr>
              <w:t>乡镇人民政府</w:t>
            </w:r>
          </w:p>
        </w:tc>
        <w:tc>
          <w:tcPr>
            <w:tcW w:w="2566"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服务中心</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■社区/企事业单位/村公示栏（电子屏）</w:t>
            </w:r>
          </w:p>
        </w:tc>
        <w:tc>
          <w:tcPr>
            <w:tcW w:w="66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auto"/>
                <w:sz w:val="18"/>
                <w:szCs w:val="18"/>
                <w:lang w:val="en-US" w:eastAsia="zh-CN"/>
              </w:rPr>
              <w:t>罗浪</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auto"/>
                <w:sz w:val="18"/>
                <w:szCs w:val="18"/>
                <w:lang w:eastAsia="zh-CN"/>
              </w:rPr>
              <w:t>法治建设岗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rPr>
              <w:t>乡镇人民政府</w:t>
            </w:r>
          </w:p>
        </w:tc>
        <w:tc>
          <w:tcPr>
            <w:tcW w:w="2566"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服务中心</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■社区/企事业单位/村公示栏（电子屏）</w:t>
            </w:r>
          </w:p>
        </w:tc>
        <w:tc>
          <w:tcPr>
            <w:tcW w:w="665"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val="en-US" w:eastAsia="zh-CN"/>
              </w:rPr>
              <w:t>罗浪</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法治建设岗</w:t>
            </w:r>
          </w:p>
        </w:tc>
        <w:tc>
          <w:tcPr>
            <w:tcW w:w="962" w:type="dxa"/>
            <w:vAlign w:val="center"/>
          </w:tcPr>
          <w:p>
            <w:pPr>
              <w:overflowPunct w:val="0"/>
              <w:snapToGrid w:val="0"/>
              <w:jc w:val="center"/>
            </w:pPr>
            <w:r>
              <w:rPr>
                <w:rFonts w:hint="eastAsia" w:ascii="宋体" w:hAnsi="宋体" w:eastAsia="宋体"/>
                <w:b w:val="0"/>
                <w:color w:val="000000"/>
                <w:kern w:val="0"/>
                <w:sz w:val="18"/>
                <w:szCs w:val="18"/>
              </w:rPr>
              <w:t>乡镇人民政府</w:t>
            </w:r>
          </w:p>
        </w:tc>
        <w:tc>
          <w:tcPr>
            <w:tcW w:w="2566"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服务中心</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■社区/企事业单位/村公示栏（电子屏）</w:t>
            </w:r>
          </w:p>
        </w:tc>
        <w:tc>
          <w:tcPr>
            <w:tcW w:w="66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val="en-US" w:eastAsia="zh-CN"/>
              </w:rPr>
              <w:t>罗浪</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法治建设岗</w:t>
            </w:r>
          </w:p>
        </w:tc>
        <w:tc>
          <w:tcPr>
            <w:tcW w:w="962" w:type="dxa"/>
            <w:vAlign w:val="center"/>
          </w:tcPr>
          <w:p>
            <w:pPr>
              <w:overflowPunct w:val="0"/>
              <w:snapToGrid w:val="0"/>
              <w:jc w:val="center"/>
            </w:pPr>
            <w:r>
              <w:rPr>
                <w:rFonts w:hint="eastAsia" w:ascii="宋体" w:hAnsi="宋体" w:eastAsia="宋体"/>
                <w:b w:val="0"/>
                <w:color w:val="000000"/>
                <w:kern w:val="0"/>
                <w:sz w:val="18"/>
                <w:szCs w:val="18"/>
              </w:rPr>
              <w:t>乡镇人民政府</w:t>
            </w:r>
          </w:p>
        </w:tc>
        <w:tc>
          <w:tcPr>
            <w:tcW w:w="2566"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服务中心</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■社区/企事业单位/村公示栏（电子屏）</w:t>
            </w:r>
          </w:p>
        </w:tc>
        <w:tc>
          <w:tcPr>
            <w:tcW w:w="66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val="en-US" w:eastAsia="zh-CN"/>
              </w:rPr>
              <w:t>罗浪</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法治建设岗</w:t>
            </w:r>
          </w:p>
        </w:tc>
        <w:tc>
          <w:tcPr>
            <w:tcW w:w="962" w:type="dxa"/>
            <w:vAlign w:val="center"/>
          </w:tcPr>
          <w:p>
            <w:pPr>
              <w:jc w:val="both"/>
            </w:pPr>
            <w:r>
              <w:rPr>
                <w:rFonts w:hint="eastAsia" w:ascii="宋体" w:hAnsi="宋体" w:eastAsia="宋体"/>
                <w:b w:val="0"/>
                <w:color w:val="000000"/>
                <w:kern w:val="0"/>
                <w:sz w:val="18"/>
                <w:szCs w:val="18"/>
              </w:rPr>
              <w:t>乡镇人民政府</w:t>
            </w:r>
          </w:p>
        </w:tc>
        <w:tc>
          <w:tcPr>
            <w:tcW w:w="2566"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服务中心</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■社区/企事业单位/村公示栏（电子屏）</w:t>
            </w:r>
          </w:p>
        </w:tc>
        <w:tc>
          <w:tcPr>
            <w:tcW w:w="66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zgxNjdhM2MyZTU0MjQ5ZjQ0ZGMxOWVkY2ExNzAifQ=="/>
    <w:docVar w:name="KSO_WPS_MARK_KEY" w:val="f7de1d11-88a0-41a7-94df-851aeedcb6fa"/>
  </w:docVars>
  <w:rsids>
    <w:rsidRoot w:val="0052371F"/>
    <w:rsid w:val="0052371F"/>
    <w:rsid w:val="0E1421A8"/>
    <w:rsid w:val="1CEE2DB5"/>
    <w:rsid w:val="22164BAE"/>
    <w:rsid w:val="2BC977A3"/>
    <w:rsid w:val="30110DE2"/>
    <w:rsid w:val="437217FE"/>
    <w:rsid w:val="482C04BA"/>
    <w:rsid w:val="4CB91D57"/>
    <w:rsid w:val="5FFB345A"/>
    <w:rsid w:val="FAD7164F"/>
    <w:rsid w:val="FF3FC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1194</Words>
  <Characters>1235</Characters>
  <Lines>24</Lines>
  <Paragraphs>7</Paragraphs>
  <TotalTime>1</TotalTime>
  <ScaleCrop>false</ScaleCrop>
  <LinksUpToDate>false</LinksUpToDate>
  <CharactersWithSpaces>2012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2023-10-14T06:18:00Z</dcterms:created>
  <dc:creator>Administrator</dc:creator>
  <cp:lastModifiedBy>user</cp:lastModifiedBy>
  <dcterms:modified xsi:type="dcterms:W3CDTF">2025-02-12T17:37:39Z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27CDE5B1053F43E6A5CA928CEEEFEC79_13</vt:lpwstr>
  </property>
</Properties>
</file>