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eastAsia="zh-CN"/>
        </w:rPr>
        <w:t>骑龙</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sz w:val="44"/>
          <w:szCs w:val="44"/>
          <w:lang w:val="en-US" w:eastAsia="zh-CN"/>
        </w:rPr>
        <w:t>（街道办事处）</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甄朝林</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骑龙</w:t>
            </w:r>
            <w:r>
              <w:rPr>
                <w:rFonts w:hint="eastAsia" w:ascii="方正仿宋_GBK" w:hAnsi="方正仿宋_GBK" w:eastAsia="方正仿宋_GBK" w:cs="方正仿宋_GBK"/>
                <w:b w:val="0"/>
                <w:color w:val="000000"/>
                <w:kern w:val="0"/>
                <w:sz w:val="21"/>
                <w:szCs w:val="21"/>
              </w:rPr>
              <w:t>镇人民政府（街道办事处）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甄朝林</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骑龙</w:t>
            </w:r>
            <w:r>
              <w:rPr>
                <w:rFonts w:hint="eastAsia" w:ascii="方正仿宋_GBK" w:hAnsi="方正仿宋_GBK" w:eastAsia="方正仿宋_GBK" w:cs="方正仿宋_GBK"/>
                <w:b w:val="0"/>
                <w:color w:val="000000"/>
                <w:kern w:val="0"/>
                <w:sz w:val="21"/>
                <w:szCs w:val="21"/>
              </w:rPr>
              <w:t>镇人民政府（街道办事处）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甄朝林</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骑龙</w:t>
            </w:r>
            <w:r>
              <w:rPr>
                <w:rFonts w:hint="eastAsia" w:ascii="方正仿宋_GBK" w:hAnsi="方正仿宋_GBK" w:eastAsia="方正仿宋_GBK" w:cs="方正仿宋_GBK"/>
                <w:b w:val="0"/>
                <w:color w:val="000000"/>
                <w:kern w:val="0"/>
                <w:sz w:val="21"/>
                <w:szCs w:val="21"/>
              </w:rPr>
              <w:t>镇人民政府（街道办事处）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甄朝林</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农服中心</w:t>
            </w:r>
            <w:bookmarkStart w:id="0" w:name="_GoBack"/>
            <w:bookmarkEnd w:id="0"/>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骑龙</w:t>
            </w:r>
            <w:r>
              <w:rPr>
                <w:rFonts w:hint="eastAsia" w:ascii="方正仿宋_GBK" w:hAnsi="方正仿宋_GBK" w:eastAsia="方正仿宋_GBK" w:cs="方正仿宋_GBK"/>
                <w:b w:val="0"/>
                <w:color w:val="000000"/>
                <w:kern w:val="0"/>
                <w:sz w:val="21"/>
                <w:szCs w:val="21"/>
              </w:rPr>
              <w:t>镇人民政府（街道办事处）</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DU0MDQ1ZjVlYmFlZTAxMDA4MjRlZWViMzI5YzEifQ=="/>
  </w:docVars>
  <w:rsids>
    <w:rsidRoot w:val="0052371F"/>
    <w:rsid w:val="0052371F"/>
    <w:rsid w:val="01BC5231"/>
    <w:rsid w:val="0E1421A8"/>
    <w:rsid w:val="14CC73D7"/>
    <w:rsid w:val="17196E38"/>
    <w:rsid w:val="3F3F011D"/>
    <w:rsid w:val="4C761A0A"/>
    <w:rsid w:val="53601FA7"/>
    <w:rsid w:val="5C895A76"/>
    <w:rsid w:val="5D2508FC"/>
    <w:rsid w:val="6A843C33"/>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2</TotalTime>
  <ScaleCrop>false</ScaleCrop>
  <LinksUpToDate>false</LinksUpToDate>
  <CharactersWithSpaces>3428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贰</cp:lastModifiedBy>
  <dcterms:modified xsi:type="dcterms:W3CDTF">2024-02-28T02:22:40Z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3C120EFAA67A4F27ABEEED9A6FC21EB4_12</vt:lpwstr>
  </property>
</Properties>
</file>