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B1F6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石莲镇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14:paraId="1D3946E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w:t>
      </w:r>
      <w:bookmarkStart w:id="0" w:name="_GoBack"/>
      <w:bookmarkEnd w:id="0"/>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14:paraId="0796A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14:paraId="4BEB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14:paraId="142106EB">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序号</w:t>
            </w:r>
          </w:p>
        </w:tc>
        <w:tc>
          <w:tcPr>
            <w:tcW w:w="1773" w:type="dxa"/>
            <w:gridSpan w:val="2"/>
            <w:tcBorders>
              <w:tl2br w:val="nil"/>
              <w:tr2bl w:val="nil"/>
            </w:tcBorders>
            <w:tcMar>
              <w:top w:w="15" w:type="dxa"/>
              <w:left w:w="15" w:type="dxa"/>
              <w:right w:w="15" w:type="dxa"/>
            </w:tcMar>
            <w:vAlign w:val="center"/>
          </w:tcPr>
          <w:p w14:paraId="0571D5FC">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公开事项</w:t>
            </w:r>
          </w:p>
        </w:tc>
        <w:tc>
          <w:tcPr>
            <w:tcW w:w="2129" w:type="dxa"/>
            <w:vMerge w:val="restart"/>
            <w:tcBorders>
              <w:tl2br w:val="nil"/>
              <w:tr2bl w:val="nil"/>
            </w:tcBorders>
            <w:tcMar>
              <w:top w:w="15" w:type="dxa"/>
              <w:left w:w="15" w:type="dxa"/>
              <w:right w:w="15" w:type="dxa"/>
            </w:tcMar>
            <w:vAlign w:val="center"/>
          </w:tcPr>
          <w:p w14:paraId="16A47668">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公开内容</w:t>
            </w:r>
          </w:p>
          <w:p w14:paraId="2C27C43A">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（要素）</w:t>
            </w:r>
          </w:p>
        </w:tc>
        <w:tc>
          <w:tcPr>
            <w:tcW w:w="3708" w:type="dxa"/>
            <w:vMerge w:val="restart"/>
            <w:tcBorders>
              <w:tl2br w:val="nil"/>
              <w:tr2bl w:val="nil"/>
            </w:tcBorders>
            <w:tcMar>
              <w:top w:w="15" w:type="dxa"/>
              <w:left w:w="15" w:type="dxa"/>
              <w:right w:w="15" w:type="dxa"/>
            </w:tcMar>
            <w:vAlign w:val="center"/>
          </w:tcPr>
          <w:p w14:paraId="28277630">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公开依据</w:t>
            </w:r>
          </w:p>
        </w:tc>
        <w:tc>
          <w:tcPr>
            <w:tcW w:w="1260" w:type="dxa"/>
            <w:vMerge w:val="restart"/>
            <w:tcBorders>
              <w:tl2br w:val="nil"/>
              <w:tr2bl w:val="nil"/>
            </w:tcBorders>
            <w:tcMar>
              <w:top w:w="15" w:type="dxa"/>
              <w:left w:w="15" w:type="dxa"/>
              <w:right w:w="15" w:type="dxa"/>
            </w:tcMar>
            <w:vAlign w:val="center"/>
          </w:tcPr>
          <w:p w14:paraId="68DCF51D">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公开时限</w:t>
            </w:r>
          </w:p>
        </w:tc>
        <w:tc>
          <w:tcPr>
            <w:tcW w:w="690" w:type="dxa"/>
            <w:vMerge w:val="restart"/>
            <w:tcBorders>
              <w:tl2br w:val="nil"/>
              <w:tr2bl w:val="nil"/>
            </w:tcBorders>
            <w:tcMar>
              <w:top w:w="15" w:type="dxa"/>
              <w:left w:w="15" w:type="dxa"/>
              <w:right w:w="15" w:type="dxa"/>
            </w:tcMar>
            <w:vAlign w:val="center"/>
          </w:tcPr>
          <w:p w14:paraId="4F80F7B9">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41579FAF">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领导</w:t>
            </w:r>
          </w:p>
        </w:tc>
        <w:tc>
          <w:tcPr>
            <w:tcW w:w="690" w:type="dxa"/>
            <w:vMerge w:val="restart"/>
            <w:tcBorders>
              <w:tl2br w:val="nil"/>
              <w:tr2bl w:val="nil"/>
            </w:tcBorders>
            <w:tcMar>
              <w:top w:w="15" w:type="dxa"/>
              <w:left w:w="15" w:type="dxa"/>
              <w:right w:w="15" w:type="dxa"/>
            </w:tcMar>
            <w:vAlign w:val="center"/>
          </w:tcPr>
          <w:p w14:paraId="3A7AE749">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责任</w:t>
            </w:r>
          </w:p>
          <w:p w14:paraId="3D475D34">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78FE42">
            <w:pPr>
              <w:overflowPunct w:val="0"/>
              <w:snapToGrid w:val="0"/>
              <w:jc w:val="center"/>
              <w:rPr>
                <w:rFonts w:hint="eastAsia" w:ascii="方正黑体_GBK" w:hAnsi="方正黑体_GBK" w:eastAsia="方正黑体_GBK" w:cs="方正黑体_GBK"/>
                <w:sz w:val="21"/>
                <w:szCs w:val="21"/>
                <w:shd w:val="clear" w:color="auto" w:fill="auto"/>
              </w:rPr>
            </w:pPr>
            <w:r>
              <w:rPr>
                <w:rFonts w:hint="eastAsia" w:ascii="方正黑体_GBK" w:hAnsi="方正黑体_GBK" w:eastAsia="方正黑体_GBK" w:cs="方正黑体_GBK"/>
                <w:b w:val="0"/>
                <w:bCs/>
                <w:color w:val="000000"/>
                <w:kern w:val="0"/>
                <w:sz w:val="21"/>
                <w:szCs w:val="21"/>
                <w:shd w:val="clear" w:color="auto" w:fill="auto"/>
              </w:rPr>
              <w:t>公开</w:t>
            </w:r>
            <w:r>
              <w:rPr>
                <w:rFonts w:hint="eastAsia" w:ascii="方正黑体_GBK" w:hAnsi="方正黑体_GBK" w:eastAsia="方正黑体_GBK" w:cs="方正黑体_GBK"/>
                <w:b w:val="0"/>
                <w:bCs/>
                <w:color w:val="000000"/>
                <w:kern w:val="0"/>
                <w:sz w:val="21"/>
                <w:szCs w:val="21"/>
                <w:shd w:val="clear" w:color="auto" w:fill="auto"/>
              </w:rPr>
              <w:br w:type="textWrapping"/>
            </w:r>
            <w:r>
              <w:rPr>
                <w:rFonts w:hint="eastAsia" w:ascii="方正黑体_GBK" w:hAnsi="方正黑体_GBK" w:eastAsia="方正黑体_GBK" w:cs="方正黑体_GBK"/>
                <w:b w:val="0"/>
                <w:bCs/>
                <w:color w:val="000000"/>
                <w:kern w:val="0"/>
                <w:sz w:val="21"/>
                <w:szCs w:val="21"/>
                <w:shd w:val="clear" w:color="auto" w:fill="auto"/>
              </w:rPr>
              <w:t>主体</w:t>
            </w:r>
          </w:p>
        </w:tc>
        <w:tc>
          <w:tcPr>
            <w:tcW w:w="1394" w:type="dxa"/>
            <w:vMerge w:val="restart"/>
            <w:tcBorders>
              <w:tl2br w:val="nil"/>
              <w:tr2bl w:val="nil"/>
            </w:tcBorders>
            <w:tcMar>
              <w:top w:w="15" w:type="dxa"/>
              <w:left w:w="15" w:type="dxa"/>
              <w:right w:w="15" w:type="dxa"/>
            </w:tcMar>
            <w:vAlign w:val="center"/>
          </w:tcPr>
          <w:p w14:paraId="4F3F26D6">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公开渠道和载体</w:t>
            </w:r>
          </w:p>
        </w:tc>
        <w:tc>
          <w:tcPr>
            <w:tcW w:w="1195" w:type="dxa"/>
            <w:gridSpan w:val="2"/>
            <w:tcBorders>
              <w:tl2br w:val="nil"/>
              <w:tr2bl w:val="nil"/>
            </w:tcBorders>
            <w:tcMar>
              <w:top w:w="15" w:type="dxa"/>
              <w:left w:w="15" w:type="dxa"/>
              <w:right w:w="15" w:type="dxa"/>
            </w:tcMar>
            <w:vAlign w:val="center"/>
          </w:tcPr>
          <w:p w14:paraId="2642F36B">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公开对象</w:t>
            </w:r>
          </w:p>
        </w:tc>
        <w:tc>
          <w:tcPr>
            <w:tcW w:w="1063" w:type="dxa"/>
            <w:gridSpan w:val="2"/>
            <w:tcBorders>
              <w:tl2br w:val="nil"/>
              <w:tr2bl w:val="nil"/>
            </w:tcBorders>
            <w:tcMar>
              <w:top w:w="15" w:type="dxa"/>
              <w:left w:w="15" w:type="dxa"/>
              <w:right w:w="15" w:type="dxa"/>
            </w:tcMar>
            <w:vAlign w:val="center"/>
          </w:tcPr>
          <w:p w14:paraId="31B0EAE3">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公开方式</w:t>
            </w:r>
          </w:p>
        </w:tc>
        <w:tc>
          <w:tcPr>
            <w:tcW w:w="534" w:type="dxa"/>
            <w:tcBorders>
              <w:tl2br w:val="nil"/>
              <w:tr2bl w:val="nil"/>
            </w:tcBorders>
            <w:tcMar>
              <w:top w:w="15" w:type="dxa"/>
              <w:left w:w="15" w:type="dxa"/>
              <w:right w:w="15" w:type="dxa"/>
            </w:tcMar>
            <w:vAlign w:val="center"/>
          </w:tcPr>
          <w:p w14:paraId="62A74730">
            <w:pPr>
              <w:widowControl/>
              <w:spacing w:line="310" w:lineRule="exact"/>
              <w:jc w:val="center"/>
              <w:textAlignment w:val="center"/>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公开层级</w:t>
            </w:r>
          </w:p>
        </w:tc>
      </w:tr>
      <w:tr w14:paraId="7C10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81" w:hRule="atLeast"/>
          <w:tblHeader/>
          <w:jc w:val="center"/>
        </w:trPr>
        <w:tc>
          <w:tcPr>
            <w:tcW w:w="525" w:type="dxa"/>
            <w:vMerge w:val="continue"/>
            <w:tcBorders>
              <w:tl2br w:val="nil"/>
              <w:tr2bl w:val="nil"/>
            </w:tcBorders>
            <w:tcMar>
              <w:top w:w="15" w:type="dxa"/>
              <w:left w:w="15" w:type="dxa"/>
              <w:right w:w="15" w:type="dxa"/>
            </w:tcMar>
            <w:vAlign w:val="center"/>
          </w:tcPr>
          <w:p w14:paraId="54BF7D83">
            <w:pPr>
              <w:spacing w:line="310" w:lineRule="exact"/>
              <w:jc w:val="center"/>
              <w:rPr>
                <w:rFonts w:hint="eastAsia" w:ascii="方正黑体_GBK" w:hAnsi="方正黑体_GBK" w:eastAsia="方正黑体_GBK" w:cs="方正黑体_GBK"/>
                <w:color w:val="000000"/>
                <w:sz w:val="21"/>
                <w:szCs w:val="21"/>
              </w:rPr>
            </w:pPr>
          </w:p>
        </w:tc>
        <w:tc>
          <w:tcPr>
            <w:tcW w:w="602" w:type="dxa"/>
            <w:tcBorders>
              <w:tl2br w:val="nil"/>
              <w:tr2bl w:val="nil"/>
            </w:tcBorders>
            <w:tcMar>
              <w:top w:w="15" w:type="dxa"/>
              <w:left w:w="15" w:type="dxa"/>
              <w:right w:w="15" w:type="dxa"/>
            </w:tcMar>
            <w:vAlign w:val="center"/>
          </w:tcPr>
          <w:p w14:paraId="415AD674">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一级</w:t>
            </w:r>
          </w:p>
          <w:p w14:paraId="0127BA24">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1171" w:type="dxa"/>
            <w:tcBorders>
              <w:tl2br w:val="nil"/>
              <w:tr2bl w:val="nil"/>
            </w:tcBorders>
            <w:tcMar>
              <w:top w:w="15" w:type="dxa"/>
              <w:left w:w="15" w:type="dxa"/>
              <w:right w:w="15" w:type="dxa"/>
            </w:tcMar>
            <w:vAlign w:val="center"/>
          </w:tcPr>
          <w:p w14:paraId="36B939D9">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二级</w:t>
            </w:r>
          </w:p>
          <w:p w14:paraId="282F5F3C">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事项</w:t>
            </w:r>
          </w:p>
        </w:tc>
        <w:tc>
          <w:tcPr>
            <w:tcW w:w="2129" w:type="dxa"/>
            <w:vMerge w:val="continue"/>
            <w:tcBorders>
              <w:tl2br w:val="nil"/>
              <w:tr2bl w:val="nil"/>
            </w:tcBorders>
            <w:tcMar>
              <w:top w:w="15" w:type="dxa"/>
              <w:left w:w="15" w:type="dxa"/>
              <w:right w:w="15" w:type="dxa"/>
            </w:tcMar>
            <w:vAlign w:val="center"/>
          </w:tcPr>
          <w:p w14:paraId="7B604747">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3708" w:type="dxa"/>
            <w:vMerge w:val="continue"/>
            <w:tcBorders>
              <w:tl2br w:val="nil"/>
              <w:tr2bl w:val="nil"/>
            </w:tcBorders>
            <w:tcMar>
              <w:top w:w="15" w:type="dxa"/>
              <w:left w:w="15" w:type="dxa"/>
              <w:right w:w="15" w:type="dxa"/>
            </w:tcMar>
            <w:vAlign w:val="center"/>
          </w:tcPr>
          <w:p w14:paraId="59259984">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1260" w:type="dxa"/>
            <w:vMerge w:val="continue"/>
            <w:tcBorders>
              <w:tl2br w:val="nil"/>
              <w:tr2bl w:val="nil"/>
            </w:tcBorders>
            <w:tcMar>
              <w:top w:w="15" w:type="dxa"/>
              <w:left w:w="15" w:type="dxa"/>
              <w:right w:w="15" w:type="dxa"/>
            </w:tcMar>
            <w:vAlign w:val="center"/>
          </w:tcPr>
          <w:p w14:paraId="6A0AB010">
            <w:pPr>
              <w:widowControl/>
              <w:spacing w:line="310" w:lineRule="exact"/>
              <w:jc w:val="center"/>
              <w:textAlignment w:val="top"/>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5291D968">
            <w:pPr>
              <w:spacing w:line="310" w:lineRule="exact"/>
              <w:jc w:val="center"/>
              <w:rPr>
                <w:rFonts w:hint="eastAsia" w:ascii="方正黑体_GBK" w:hAnsi="方正黑体_GBK" w:eastAsia="方正黑体_GBK" w:cs="方正黑体_GBK"/>
                <w:color w:val="000000"/>
                <w:sz w:val="21"/>
                <w:szCs w:val="21"/>
              </w:rPr>
            </w:pPr>
          </w:p>
        </w:tc>
        <w:tc>
          <w:tcPr>
            <w:tcW w:w="690" w:type="dxa"/>
            <w:vMerge w:val="continue"/>
            <w:tcBorders>
              <w:tl2br w:val="nil"/>
              <w:tr2bl w:val="nil"/>
            </w:tcBorders>
            <w:tcMar>
              <w:top w:w="15" w:type="dxa"/>
              <w:left w:w="15" w:type="dxa"/>
              <w:right w:w="15" w:type="dxa"/>
            </w:tcMar>
            <w:vAlign w:val="center"/>
          </w:tcPr>
          <w:p w14:paraId="77E6B37D">
            <w:pPr>
              <w:spacing w:line="310" w:lineRule="exact"/>
              <w:jc w:val="center"/>
              <w:rPr>
                <w:rFonts w:hint="eastAsia" w:ascii="方正黑体_GBK" w:hAnsi="方正黑体_GBK" w:eastAsia="方正黑体_GBK" w:cs="方正黑体_GBK"/>
                <w:color w:val="000000"/>
                <w:sz w:val="21"/>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C774AB">
            <w:pPr>
              <w:widowControl/>
              <w:jc w:val="left"/>
              <w:rPr>
                <w:rFonts w:hint="eastAsia" w:ascii="方正黑体_GBK" w:hAnsi="方正黑体_GBK" w:eastAsia="方正黑体_GBK" w:cs="方正黑体_GBK"/>
                <w:sz w:val="21"/>
                <w:szCs w:val="21"/>
                <w:shd w:val="clear" w:color="auto" w:fill="auto"/>
              </w:rPr>
            </w:pPr>
          </w:p>
        </w:tc>
        <w:tc>
          <w:tcPr>
            <w:tcW w:w="1394" w:type="dxa"/>
            <w:vMerge w:val="continue"/>
            <w:tcBorders>
              <w:tl2br w:val="nil"/>
              <w:tr2bl w:val="nil"/>
            </w:tcBorders>
            <w:tcMar>
              <w:top w:w="15" w:type="dxa"/>
              <w:left w:w="15" w:type="dxa"/>
              <w:right w:w="15" w:type="dxa"/>
            </w:tcMar>
            <w:vAlign w:val="center"/>
          </w:tcPr>
          <w:p w14:paraId="1CB053BE">
            <w:pPr>
              <w:spacing w:line="310" w:lineRule="exact"/>
              <w:jc w:val="center"/>
              <w:rPr>
                <w:rFonts w:hint="eastAsia" w:ascii="方正黑体_GBK" w:hAnsi="方正黑体_GBK" w:eastAsia="方正黑体_GBK" w:cs="方正黑体_GBK"/>
                <w:color w:val="000000"/>
                <w:sz w:val="21"/>
                <w:szCs w:val="21"/>
              </w:rPr>
            </w:pPr>
          </w:p>
        </w:tc>
        <w:tc>
          <w:tcPr>
            <w:tcW w:w="622" w:type="dxa"/>
            <w:tcBorders>
              <w:tl2br w:val="nil"/>
              <w:tr2bl w:val="nil"/>
            </w:tcBorders>
            <w:tcMar>
              <w:top w:w="15" w:type="dxa"/>
              <w:left w:w="15" w:type="dxa"/>
              <w:right w:w="15" w:type="dxa"/>
            </w:tcMar>
            <w:vAlign w:val="center"/>
          </w:tcPr>
          <w:p w14:paraId="61D9E198">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全社会</w:t>
            </w:r>
          </w:p>
        </w:tc>
        <w:tc>
          <w:tcPr>
            <w:tcW w:w="573" w:type="dxa"/>
            <w:tcBorders>
              <w:tl2br w:val="nil"/>
              <w:tr2bl w:val="nil"/>
            </w:tcBorders>
            <w:tcMar>
              <w:top w:w="15" w:type="dxa"/>
              <w:left w:w="15" w:type="dxa"/>
              <w:right w:w="15" w:type="dxa"/>
            </w:tcMar>
            <w:vAlign w:val="center"/>
          </w:tcPr>
          <w:p w14:paraId="66DEE710">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特定</w:t>
            </w:r>
          </w:p>
          <w:p w14:paraId="0E9F0E7D">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群体</w:t>
            </w:r>
          </w:p>
        </w:tc>
        <w:tc>
          <w:tcPr>
            <w:tcW w:w="506" w:type="dxa"/>
            <w:tcBorders>
              <w:tl2br w:val="nil"/>
              <w:tr2bl w:val="nil"/>
            </w:tcBorders>
            <w:tcMar>
              <w:top w:w="15" w:type="dxa"/>
              <w:left w:w="15" w:type="dxa"/>
              <w:right w:w="15" w:type="dxa"/>
            </w:tcMar>
            <w:vAlign w:val="center"/>
          </w:tcPr>
          <w:p w14:paraId="10D47BF5">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主动</w:t>
            </w:r>
          </w:p>
        </w:tc>
        <w:tc>
          <w:tcPr>
            <w:tcW w:w="557" w:type="dxa"/>
            <w:tcBorders>
              <w:tl2br w:val="nil"/>
              <w:tr2bl w:val="nil"/>
            </w:tcBorders>
            <w:tcMar>
              <w:top w:w="15" w:type="dxa"/>
              <w:left w:w="15" w:type="dxa"/>
              <w:right w:w="15" w:type="dxa"/>
            </w:tcMar>
            <w:vAlign w:val="center"/>
          </w:tcPr>
          <w:p w14:paraId="206C9844">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依申</w:t>
            </w:r>
          </w:p>
          <w:p w14:paraId="2BD8308F">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rPr>
              <w:t>请</w:t>
            </w:r>
          </w:p>
        </w:tc>
        <w:tc>
          <w:tcPr>
            <w:tcW w:w="534" w:type="dxa"/>
            <w:tcBorders>
              <w:tl2br w:val="nil"/>
              <w:tr2bl w:val="nil"/>
            </w:tcBorders>
            <w:tcMar>
              <w:top w:w="15" w:type="dxa"/>
              <w:left w:w="15" w:type="dxa"/>
              <w:right w:w="15" w:type="dxa"/>
            </w:tcMar>
            <w:vAlign w:val="center"/>
          </w:tcPr>
          <w:p w14:paraId="3AF972F2">
            <w:pPr>
              <w:widowControl/>
              <w:spacing w:line="310" w:lineRule="exact"/>
              <w:jc w:val="center"/>
              <w:textAlignment w:val="top"/>
              <w:rPr>
                <w:rFonts w:hint="eastAsia"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sz w:val="21"/>
                <w:szCs w:val="21"/>
                <w:lang w:eastAsia="zh-CN"/>
              </w:rPr>
              <w:t>乡镇</w:t>
            </w:r>
            <w:r>
              <w:rPr>
                <w:rFonts w:hint="eastAsia" w:ascii="方正黑体_GBK" w:hAnsi="方正黑体_GBK" w:eastAsia="方正黑体_GBK" w:cs="方正黑体_GBK"/>
                <w:color w:val="000000"/>
                <w:sz w:val="21"/>
                <w:szCs w:val="21"/>
              </w:rPr>
              <w:t>级</w:t>
            </w:r>
          </w:p>
        </w:tc>
      </w:tr>
      <w:tr w14:paraId="17E4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14:paraId="4EC0BEB4">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w:t>
            </w:r>
          </w:p>
        </w:tc>
        <w:tc>
          <w:tcPr>
            <w:tcW w:w="602" w:type="dxa"/>
            <w:tcBorders>
              <w:tl2br w:val="nil"/>
              <w:tr2bl w:val="nil"/>
            </w:tcBorders>
            <w:tcMar>
              <w:top w:w="15" w:type="dxa"/>
              <w:left w:w="15" w:type="dxa"/>
              <w:right w:w="15" w:type="dxa"/>
            </w:tcMar>
            <w:vAlign w:val="center"/>
          </w:tcPr>
          <w:p w14:paraId="491E39AD">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5B1247B4">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耕地地力保护和种粮大户补贴</w:t>
            </w:r>
          </w:p>
        </w:tc>
        <w:tc>
          <w:tcPr>
            <w:tcW w:w="2129" w:type="dxa"/>
            <w:tcBorders>
              <w:tl2br w:val="nil"/>
              <w:tr2bl w:val="nil"/>
            </w:tcBorders>
            <w:tcMar>
              <w:top w:w="15" w:type="dxa"/>
              <w:left w:w="15" w:type="dxa"/>
              <w:right w:w="15" w:type="dxa"/>
            </w:tcMar>
            <w:vAlign w:val="center"/>
          </w:tcPr>
          <w:p w14:paraId="7FCDFCD7">
            <w:pPr>
              <w:widowControl/>
              <w:spacing w:line="300" w:lineRule="exact"/>
              <w:jc w:val="left"/>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52BE9601">
            <w:pPr>
              <w:widowControl/>
              <w:spacing w:line="300" w:lineRule="exact"/>
              <w:jc w:val="both"/>
              <w:rPr>
                <w:rFonts w:hint="default" w:ascii="Times New Roman" w:hAnsi="Times New Roman" w:eastAsia="宋体" w:cs="Times New Roman"/>
                <w:color w:val="000000"/>
                <w:kern w:val="0"/>
                <w:sz w:val="18"/>
                <w:szCs w:val="18"/>
                <w:lang w:val="zh-CN"/>
              </w:rPr>
            </w:pPr>
            <w:r>
              <w:rPr>
                <w:rFonts w:hint="default" w:ascii="Times New Roman" w:hAnsi="Times New Roman" w:eastAsia="方正仿宋_GBK" w:cs="Times New Roman"/>
                <w:color w:val="000000"/>
                <w:kern w:val="0"/>
                <w:szCs w:val="21"/>
              </w:rPr>
              <w:t>《财政部 农业农村部关于印发</w:t>
            </w:r>
            <w:r>
              <w:rPr>
                <w:rFonts w:hint="default" w:ascii="Times New Roman" w:hAnsi="Times New Roman" w:eastAsia="方正仿宋_GBK" w:cs="Times New Roman"/>
                <w:color w:val="000000"/>
                <w:kern w:val="0"/>
                <w:szCs w:val="21"/>
                <w:lang w:eastAsia="zh-CN"/>
              </w:rPr>
              <w:t>耕地建设与利用</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2</w:t>
            </w:r>
            <w:r>
              <w:rPr>
                <w:rFonts w:hint="default" w:ascii="Times New Roman" w:hAnsi="Times New Roman" w:eastAsia="方正仿宋_GBK" w:cs="Times New Roman"/>
                <w:color w:val="000000"/>
                <w:kern w:val="0"/>
                <w:szCs w:val="21"/>
              </w:rPr>
              <w:t>号）、《财政部农业部关于全面推开农业三项补贴改革工作的通知》(财农〔20</w:t>
            </w:r>
            <w:r>
              <w:rPr>
                <w:rFonts w:hint="eastAsia" w:ascii="Times New Roman" w:hAnsi="Times New Roman" w:eastAsia="方正仿宋_GBK" w:cs="Times New Roman"/>
                <w:color w:val="000000"/>
                <w:kern w:val="0"/>
                <w:szCs w:val="21"/>
                <w:lang w:val="en-US" w:eastAsia="zh-CN"/>
              </w:rPr>
              <w:t>16</w:t>
            </w:r>
            <w:r>
              <w:rPr>
                <w:rFonts w:hint="default" w:ascii="Times New Roman" w:hAnsi="Times New Roman" w:eastAsia="方正仿宋_GBK" w:cs="Times New Roman"/>
                <w:color w:val="000000"/>
                <w:kern w:val="0"/>
                <w:szCs w:val="21"/>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14:paraId="54508305">
            <w:pPr>
              <w:widowControl/>
              <w:spacing w:line="300" w:lineRule="exact"/>
              <w:jc w:val="center"/>
              <w:rPr>
                <w:rFonts w:hint="default" w:ascii="Times New Roman" w:hAnsi="Times New Roman" w:eastAsia="宋体" w:cs="Times New Roman"/>
                <w:color w:val="00000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1B8A1C68">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_GBK" w:hAnsi="方正仿宋_GBK" w:eastAsia="方正仿宋_GBK" w:cs="方正仿宋_GBK"/>
                <w:color w:val="FF0000"/>
                <w:sz w:val="21"/>
                <w:szCs w:val="21"/>
                <w:lang w:val="en-US" w:eastAsia="zh-CN"/>
              </w:rPr>
            </w:pPr>
            <w:r>
              <w:rPr>
                <w:rFonts w:hint="eastAsia" w:ascii="方正仿宋_GBK" w:hAnsi="方正仿宋_GBK" w:eastAsia="方正仿宋_GBK" w:cs="方正仿宋_GBK"/>
                <w:color w:val="auto"/>
                <w:sz w:val="21"/>
                <w:szCs w:val="21"/>
                <w:lang w:val="en-US" w:eastAsia="zh-CN"/>
              </w:rPr>
              <w:t>陈明辉</w:t>
            </w:r>
          </w:p>
        </w:tc>
        <w:tc>
          <w:tcPr>
            <w:tcW w:w="690" w:type="dxa"/>
            <w:tcBorders>
              <w:tl2br w:val="nil"/>
              <w:tr2bl w:val="nil"/>
            </w:tcBorders>
            <w:tcMar>
              <w:top w:w="15" w:type="dxa"/>
              <w:left w:w="15" w:type="dxa"/>
              <w:right w:w="15" w:type="dxa"/>
            </w:tcMar>
            <w:vAlign w:val="center"/>
          </w:tcPr>
          <w:p w14:paraId="26836100">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_GBK" w:hAnsi="方正仿宋_GBK" w:eastAsia="方正仿宋_GBK" w:cs="方正仿宋_GBK"/>
                <w:color w:val="FF0000"/>
                <w:sz w:val="21"/>
                <w:szCs w:val="21"/>
                <w:lang w:val="en-US" w:eastAsia="zh-CN"/>
              </w:rPr>
            </w:pPr>
            <w:r>
              <w:rPr>
                <w:rFonts w:hint="eastAsia" w:ascii="方正仿宋_GBK" w:hAnsi="方正仿宋_GBK" w:eastAsia="方正仿宋_GBK" w:cs="方正仿宋_GBK"/>
                <w:color w:val="auto"/>
                <w:sz w:val="21"/>
                <w:szCs w:val="21"/>
                <w:lang w:val="en-US" w:eastAsia="zh-CN"/>
              </w:rPr>
              <w:t>产业发展服务中心、经济发展办公室</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727BD">
            <w:pPr>
              <w:overflowPunct w:val="0"/>
              <w:snapToGrid w:val="0"/>
              <w:jc w:val="center"/>
              <w:rPr>
                <w:rFonts w:hint="eastAsia" w:ascii="方正仿宋_GBK" w:hAnsi="方正仿宋_GBK" w:eastAsia="方正仿宋_GBK" w:cs="方正仿宋_GBK"/>
                <w:sz w:val="21"/>
                <w:szCs w:val="21"/>
                <w:shd w:val="clear" w:color="auto" w:fill="auto"/>
              </w:rPr>
            </w:pPr>
            <w:r>
              <w:rPr>
                <w:rFonts w:hint="eastAsia" w:ascii="方正仿宋_GBK" w:hAnsi="方正仿宋_GBK" w:eastAsia="方正仿宋_GBK" w:cs="方正仿宋_GBK"/>
                <w:b w:val="0"/>
                <w:color w:val="000000"/>
                <w:kern w:val="0"/>
                <w:sz w:val="21"/>
                <w:szCs w:val="21"/>
                <w:shd w:val="clear" w:color="auto" w:fill="auto"/>
                <w:lang w:val="en-US" w:eastAsia="zh-CN"/>
              </w:rPr>
              <w:t>石莲</w:t>
            </w:r>
            <w:r>
              <w:rPr>
                <w:rFonts w:hint="eastAsia" w:ascii="方正仿宋_GBK" w:hAnsi="方正仿宋_GBK" w:eastAsia="方正仿宋_GBK" w:cs="方正仿宋_GBK"/>
                <w:b w:val="0"/>
                <w:color w:val="000000"/>
                <w:kern w:val="0"/>
                <w:sz w:val="21"/>
                <w:szCs w:val="21"/>
                <w:shd w:val="clear" w:color="auto" w:fill="auto"/>
              </w:rPr>
              <w:t>镇人民政府</w:t>
            </w:r>
          </w:p>
        </w:tc>
        <w:tc>
          <w:tcPr>
            <w:tcW w:w="1394" w:type="dxa"/>
            <w:tcBorders>
              <w:tl2br w:val="nil"/>
              <w:tr2bl w:val="nil"/>
            </w:tcBorders>
            <w:tcMar>
              <w:top w:w="15" w:type="dxa"/>
              <w:left w:w="15" w:type="dxa"/>
              <w:right w:w="15" w:type="dxa"/>
            </w:tcMar>
            <w:vAlign w:val="center"/>
          </w:tcPr>
          <w:p w14:paraId="7927F288">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6FAEEC19">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28307A11">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774A4654">
            <w:pPr>
              <w:overflowPunct w:val="0"/>
              <w:snapToGrid w:val="0"/>
              <w:jc w:val="center"/>
              <w:rPr>
                <w:rFonts w:hint="default" w:ascii="Times New Roman" w:hAnsi="Times New Roman" w:eastAsia="宋体" w:cs="Times New Roman"/>
                <w:color w:val="000000"/>
                <w:sz w:val="18"/>
                <w:szCs w:val="18"/>
              </w:rPr>
            </w:pPr>
          </w:p>
        </w:tc>
        <w:tc>
          <w:tcPr>
            <w:tcW w:w="506" w:type="dxa"/>
            <w:tcBorders>
              <w:tl2br w:val="nil"/>
              <w:tr2bl w:val="nil"/>
            </w:tcBorders>
            <w:tcMar>
              <w:top w:w="15" w:type="dxa"/>
              <w:left w:w="15" w:type="dxa"/>
              <w:right w:w="15" w:type="dxa"/>
            </w:tcMar>
            <w:vAlign w:val="center"/>
          </w:tcPr>
          <w:p w14:paraId="07624427">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4FC087A0">
            <w:pPr>
              <w:overflowPunct w:val="0"/>
              <w:snapToGrid w:val="0"/>
              <w:jc w:val="center"/>
              <w:rPr>
                <w:rFonts w:hint="default" w:ascii="Times New Roman" w:hAnsi="Times New Roman" w:eastAsia="宋体" w:cs="Times New Roman"/>
                <w:color w:val="000000"/>
                <w:sz w:val="18"/>
                <w:szCs w:val="18"/>
              </w:rPr>
            </w:pPr>
          </w:p>
        </w:tc>
        <w:tc>
          <w:tcPr>
            <w:tcW w:w="534" w:type="dxa"/>
            <w:tcBorders>
              <w:tl2br w:val="nil"/>
              <w:tr2bl w:val="nil"/>
            </w:tcBorders>
            <w:tcMar>
              <w:top w:w="15" w:type="dxa"/>
              <w:left w:w="15" w:type="dxa"/>
              <w:right w:w="15" w:type="dxa"/>
            </w:tcMar>
            <w:vAlign w:val="center"/>
          </w:tcPr>
          <w:p w14:paraId="3A083155">
            <w:pPr>
              <w:overflowPunct w:val="0"/>
              <w:snapToGrid w:val="0"/>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w:t>
            </w:r>
          </w:p>
        </w:tc>
      </w:tr>
      <w:tr w14:paraId="766E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574E8EB9">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lang w:val="en-US" w:eastAsia="zh-CN"/>
              </w:rPr>
              <w:t>2</w:t>
            </w:r>
          </w:p>
        </w:tc>
        <w:tc>
          <w:tcPr>
            <w:tcW w:w="602" w:type="dxa"/>
            <w:tcBorders>
              <w:tl2br w:val="nil"/>
              <w:tr2bl w:val="nil"/>
            </w:tcBorders>
            <w:tcMar>
              <w:top w:w="15" w:type="dxa"/>
              <w:left w:w="15" w:type="dxa"/>
              <w:right w:w="15" w:type="dxa"/>
            </w:tcMar>
            <w:vAlign w:val="center"/>
          </w:tcPr>
          <w:p w14:paraId="0A6C12ED">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农业</w:t>
            </w:r>
            <w:r>
              <w:rPr>
                <w:rFonts w:hint="default" w:ascii="Times New Roman" w:hAnsi="Times New Roman" w:eastAsia="方正仿宋_GBK" w:cs="Times New Roman"/>
                <w:color w:val="auto"/>
                <w:kern w:val="0"/>
                <w:szCs w:val="21"/>
                <w:lang w:eastAsia="zh-CN"/>
              </w:rPr>
              <w:t>产业</w:t>
            </w:r>
            <w:r>
              <w:rPr>
                <w:rFonts w:hint="default" w:ascii="Times New Roman" w:hAnsi="Times New Roman" w:eastAsia="方正仿宋_GBK" w:cs="Times New Roman"/>
                <w:color w:val="auto"/>
                <w:kern w:val="0"/>
                <w:szCs w:val="21"/>
              </w:rPr>
              <w:t>发展资金</w:t>
            </w:r>
          </w:p>
        </w:tc>
        <w:tc>
          <w:tcPr>
            <w:tcW w:w="1171" w:type="dxa"/>
            <w:tcBorders>
              <w:tl2br w:val="nil"/>
              <w:tr2bl w:val="nil"/>
            </w:tcBorders>
            <w:tcMar>
              <w:top w:w="15" w:type="dxa"/>
              <w:left w:w="15" w:type="dxa"/>
              <w:right w:w="15" w:type="dxa"/>
            </w:tcMar>
            <w:vAlign w:val="center"/>
          </w:tcPr>
          <w:p w14:paraId="34D6DA19">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农机购置</w:t>
            </w:r>
            <w:r>
              <w:rPr>
                <w:rFonts w:hint="default" w:ascii="Times New Roman" w:hAnsi="Times New Roman" w:eastAsia="方正仿宋_GBK" w:cs="Times New Roman"/>
                <w:color w:val="auto"/>
                <w:kern w:val="0"/>
                <w:szCs w:val="21"/>
                <w:lang w:eastAsia="zh-CN"/>
              </w:rPr>
              <w:t>与应用</w:t>
            </w:r>
            <w:r>
              <w:rPr>
                <w:rFonts w:hint="default" w:ascii="Times New Roman" w:hAnsi="Times New Roman" w:eastAsia="方正仿宋_GBK" w:cs="Times New Roman"/>
                <w:color w:val="auto"/>
                <w:kern w:val="0"/>
                <w:szCs w:val="21"/>
              </w:rPr>
              <w:t>补贴</w:t>
            </w:r>
          </w:p>
        </w:tc>
        <w:tc>
          <w:tcPr>
            <w:tcW w:w="2129" w:type="dxa"/>
            <w:tcBorders>
              <w:tl2br w:val="nil"/>
              <w:tr2bl w:val="nil"/>
            </w:tcBorders>
            <w:tcMar>
              <w:top w:w="15" w:type="dxa"/>
              <w:left w:w="15" w:type="dxa"/>
              <w:right w:w="15" w:type="dxa"/>
            </w:tcMar>
            <w:vAlign w:val="center"/>
          </w:tcPr>
          <w:p w14:paraId="12C19238">
            <w:pPr>
              <w:widowControl/>
              <w:spacing w:line="300" w:lineRule="exact"/>
              <w:jc w:val="left"/>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1.政策依据</w:t>
            </w:r>
            <w:r>
              <w:rPr>
                <w:rFonts w:hint="eastAsia" w:ascii="Times New Roman" w:hAnsi="Times New Roman" w:eastAsia="方正仿宋_GBK" w:cs="Times New Roman"/>
                <w:color w:val="auto"/>
                <w:kern w:val="0"/>
                <w:szCs w:val="21"/>
                <w:lang w:eastAsia="zh-CN"/>
              </w:rPr>
              <w:t>。</w:t>
            </w:r>
            <w:r>
              <w:rPr>
                <w:rFonts w:hint="default" w:ascii="Times New Roman" w:hAnsi="Times New Roman" w:eastAsia="方正仿宋_GBK" w:cs="Times New Roman"/>
                <w:color w:val="auto"/>
                <w:kern w:val="0"/>
                <w:szCs w:val="21"/>
              </w:rPr>
              <w:br w:type="textWrapping"/>
            </w:r>
            <w:r>
              <w:rPr>
                <w:rFonts w:hint="default" w:ascii="Times New Roman" w:hAnsi="Times New Roman" w:eastAsia="方正仿宋_GBK" w:cs="Times New Roman"/>
                <w:color w:val="auto"/>
                <w:kern w:val="0"/>
                <w:szCs w:val="21"/>
              </w:rPr>
              <w:t>2.申请指南：包括补贴对象、补贴范围、补贴标准、申请程序、申请材料、咨询电话、受理单位、办理时限、联系方式等</w:t>
            </w:r>
            <w:r>
              <w:rPr>
                <w:rFonts w:hint="eastAsia" w:ascii="Times New Roman" w:hAnsi="Times New Roman" w:eastAsia="方正仿宋_GBK" w:cs="Times New Roman"/>
                <w:color w:val="auto"/>
                <w:kern w:val="0"/>
                <w:szCs w:val="21"/>
                <w:lang w:eastAsia="zh-CN"/>
              </w:rPr>
              <w:t>。</w:t>
            </w:r>
            <w:r>
              <w:rPr>
                <w:rFonts w:hint="default" w:ascii="Times New Roman" w:hAnsi="Times New Roman" w:eastAsia="方正仿宋_GBK" w:cs="Times New Roman"/>
                <w:color w:val="auto"/>
                <w:kern w:val="0"/>
                <w:szCs w:val="21"/>
              </w:rPr>
              <w:br w:type="textWrapping"/>
            </w:r>
            <w:r>
              <w:rPr>
                <w:rFonts w:hint="default" w:ascii="Times New Roman" w:hAnsi="Times New Roman" w:eastAsia="方正仿宋_GBK" w:cs="Times New Roman"/>
                <w:color w:val="auto"/>
                <w:kern w:val="0"/>
                <w:szCs w:val="21"/>
              </w:rPr>
              <w:t>3.补贴结果</w:t>
            </w:r>
            <w:r>
              <w:rPr>
                <w:rFonts w:hint="eastAsia" w:ascii="Times New Roman" w:hAnsi="Times New Roman" w:eastAsia="方正仿宋_GBK" w:cs="Times New Roman"/>
                <w:color w:val="auto"/>
                <w:kern w:val="0"/>
                <w:szCs w:val="21"/>
                <w:lang w:eastAsia="zh-CN"/>
              </w:rPr>
              <w:t>。</w:t>
            </w:r>
            <w:r>
              <w:rPr>
                <w:rFonts w:hint="default" w:ascii="Times New Roman" w:hAnsi="Times New Roman" w:eastAsia="方正仿宋_GBK" w:cs="Times New Roman"/>
                <w:color w:val="auto"/>
                <w:kern w:val="0"/>
                <w:szCs w:val="21"/>
              </w:rPr>
              <w:br w:type="textWrapping"/>
            </w:r>
            <w:r>
              <w:rPr>
                <w:rFonts w:hint="default" w:ascii="Times New Roman" w:hAnsi="Times New Roman" w:eastAsia="方正仿宋_GBK" w:cs="Times New Roman"/>
                <w:color w:val="auto"/>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7D60EE69">
            <w:pPr>
              <w:widowControl/>
              <w:spacing w:line="300" w:lineRule="exact"/>
              <w:jc w:val="both"/>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auto"/>
                <w:kern w:val="0"/>
                <w:szCs w:val="21"/>
                <w:lang w:val="en-US" w:eastAsia="zh-CN"/>
              </w:rPr>
              <w:t>3</w:t>
            </w:r>
            <w:r>
              <w:rPr>
                <w:rFonts w:hint="default" w:ascii="Times New Roman" w:hAnsi="Times New Roman" w:eastAsia="方正仿宋_GBK" w:cs="Times New Roman"/>
                <w:color w:val="auto"/>
                <w:kern w:val="0"/>
                <w:szCs w:val="21"/>
              </w:rPr>
              <w:t>〕1</w:t>
            </w:r>
            <w:r>
              <w:rPr>
                <w:rFonts w:hint="default" w:ascii="Times New Roman" w:hAnsi="Times New Roman" w:eastAsia="方正仿宋_GBK" w:cs="Times New Roman"/>
                <w:color w:val="auto"/>
                <w:kern w:val="0"/>
                <w:szCs w:val="21"/>
                <w:lang w:val="en-US" w:eastAsia="zh-CN"/>
              </w:rPr>
              <w:t>1</w:t>
            </w:r>
            <w:r>
              <w:rPr>
                <w:rFonts w:hint="default" w:ascii="Times New Roman" w:hAnsi="Times New Roman" w:eastAsia="方正仿宋_GBK" w:cs="Times New Roman"/>
                <w:color w:val="auto"/>
                <w:kern w:val="0"/>
                <w:szCs w:val="21"/>
              </w:rPr>
              <w:t>号）、《重庆市2021—2023年农机购置补贴实施方案》（渝农规〔2021〕7号）</w:t>
            </w:r>
          </w:p>
        </w:tc>
        <w:tc>
          <w:tcPr>
            <w:tcW w:w="1260" w:type="dxa"/>
            <w:tcBorders>
              <w:tl2br w:val="nil"/>
              <w:tr2bl w:val="nil"/>
            </w:tcBorders>
            <w:tcMar>
              <w:top w:w="15" w:type="dxa"/>
              <w:left w:w="15" w:type="dxa"/>
              <w:right w:w="15" w:type="dxa"/>
            </w:tcMar>
            <w:vAlign w:val="center"/>
          </w:tcPr>
          <w:p w14:paraId="4D7980D7">
            <w:pPr>
              <w:widowControl/>
              <w:spacing w:line="300" w:lineRule="exact"/>
              <w:jc w:val="center"/>
              <w:rPr>
                <w:rFonts w:hint="default" w:ascii="Times New Roman" w:hAnsi="Times New Roman" w:eastAsia="宋体" w:cs="Times New Roman"/>
                <w:color w:val="auto"/>
                <w:sz w:val="18"/>
                <w:szCs w:val="18"/>
              </w:rPr>
            </w:pPr>
            <w:r>
              <w:rPr>
                <w:rFonts w:hint="default" w:ascii="Times New Roman" w:hAnsi="Times New Roman" w:eastAsia="方正仿宋_GBK" w:cs="Times New Roman"/>
                <w:color w:val="auto"/>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32D958C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陈明辉</w:t>
            </w:r>
          </w:p>
        </w:tc>
        <w:tc>
          <w:tcPr>
            <w:tcW w:w="690" w:type="dxa"/>
            <w:tcBorders>
              <w:tl2br w:val="nil"/>
              <w:tr2bl w:val="nil"/>
            </w:tcBorders>
            <w:tcMar>
              <w:top w:w="15" w:type="dxa"/>
              <w:left w:w="15" w:type="dxa"/>
              <w:right w:w="15" w:type="dxa"/>
            </w:tcMar>
            <w:vAlign w:val="center"/>
          </w:tcPr>
          <w:p w14:paraId="419A70B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36DFD">
            <w:pPr>
              <w:overflowPunct w:val="0"/>
              <w:snapToGrid w:val="0"/>
              <w:jc w:val="center"/>
              <w:rPr>
                <w:rFonts w:hint="eastAsia" w:ascii="方正仿宋_GBK" w:hAnsi="方正仿宋_GBK" w:eastAsia="方正仿宋_GBK" w:cs="方正仿宋_GBK"/>
                <w:color w:val="auto"/>
                <w:sz w:val="21"/>
                <w:szCs w:val="21"/>
                <w:shd w:val="clear" w:color="auto" w:fill="auto"/>
              </w:rPr>
            </w:pPr>
            <w:r>
              <w:rPr>
                <w:rFonts w:hint="eastAsia" w:ascii="方正仿宋_GBK" w:hAnsi="方正仿宋_GBK" w:eastAsia="方正仿宋_GBK" w:cs="方正仿宋_GBK"/>
                <w:b w:val="0"/>
                <w:color w:val="auto"/>
                <w:kern w:val="0"/>
                <w:sz w:val="21"/>
                <w:szCs w:val="21"/>
                <w:shd w:val="clear" w:color="auto" w:fill="auto"/>
                <w:lang w:val="en-US" w:eastAsia="zh-CN"/>
              </w:rPr>
              <w:t>石莲</w:t>
            </w:r>
            <w:r>
              <w:rPr>
                <w:rFonts w:hint="eastAsia" w:ascii="方正仿宋_GBK" w:hAnsi="方正仿宋_GBK" w:eastAsia="方正仿宋_GBK" w:cs="方正仿宋_GBK"/>
                <w:b w:val="0"/>
                <w:color w:val="auto"/>
                <w:kern w:val="0"/>
                <w:sz w:val="21"/>
                <w:szCs w:val="21"/>
                <w:shd w:val="clear" w:color="auto" w:fill="auto"/>
              </w:rPr>
              <w:t>镇人民政府</w:t>
            </w:r>
          </w:p>
        </w:tc>
        <w:tc>
          <w:tcPr>
            <w:tcW w:w="1394" w:type="dxa"/>
            <w:tcBorders>
              <w:tl2br w:val="nil"/>
              <w:tr2bl w:val="nil"/>
            </w:tcBorders>
            <w:tcMar>
              <w:top w:w="15" w:type="dxa"/>
              <w:left w:w="15" w:type="dxa"/>
              <w:right w:w="15" w:type="dxa"/>
            </w:tcMar>
            <w:vAlign w:val="center"/>
          </w:tcPr>
          <w:p w14:paraId="2EBD9914">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6EC0A5D1">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5034B0AF">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w:t>
            </w:r>
          </w:p>
        </w:tc>
        <w:tc>
          <w:tcPr>
            <w:tcW w:w="573" w:type="dxa"/>
            <w:tcBorders>
              <w:tl2br w:val="nil"/>
              <w:tr2bl w:val="nil"/>
            </w:tcBorders>
            <w:tcMar>
              <w:top w:w="15" w:type="dxa"/>
              <w:left w:w="15" w:type="dxa"/>
              <w:right w:w="15" w:type="dxa"/>
            </w:tcMar>
            <w:vAlign w:val="center"/>
          </w:tcPr>
          <w:p w14:paraId="5E6ECCB0">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　</w:t>
            </w:r>
          </w:p>
        </w:tc>
        <w:tc>
          <w:tcPr>
            <w:tcW w:w="506" w:type="dxa"/>
            <w:tcBorders>
              <w:tl2br w:val="nil"/>
              <w:tr2bl w:val="nil"/>
            </w:tcBorders>
            <w:tcMar>
              <w:top w:w="15" w:type="dxa"/>
              <w:left w:w="15" w:type="dxa"/>
              <w:right w:w="15" w:type="dxa"/>
            </w:tcMar>
            <w:vAlign w:val="center"/>
          </w:tcPr>
          <w:p w14:paraId="0A05A9DF">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w:t>
            </w:r>
          </w:p>
        </w:tc>
        <w:tc>
          <w:tcPr>
            <w:tcW w:w="557" w:type="dxa"/>
            <w:tcBorders>
              <w:tl2br w:val="nil"/>
              <w:tr2bl w:val="nil"/>
            </w:tcBorders>
            <w:tcMar>
              <w:top w:w="15" w:type="dxa"/>
              <w:left w:w="15" w:type="dxa"/>
              <w:right w:w="15" w:type="dxa"/>
            </w:tcMar>
            <w:vAlign w:val="center"/>
          </w:tcPr>
          <w:p w14:paraId="15335605">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　</w:t>
            </w:r>
          </w:p>
        </w:tc>
        <w:tc>
          <w:tcPr>
            <w:tcW w:w="534" w:type="dxa"/>
            <w:tcBorders>
              <w:tl2br w:val="nil"/>
              <w:tr2bl w:val="nil"/>
            </w:tcBorders>
            <w:tcMar>
              <w:top w:w="15" w:type="dxa"/>
              <w:left w:w="15" w:type="dxa"/>
              <w:right w:w="15" w:type="dxa"/>
            </w:tcMar>
            <w:vAlign w:val="center"/>
          </w:tcPr>
          <w:p w14:paraId="305011A8">
            <w:pPr>
              <w:overflowPunct w:val="0"/>
              <w:snapToGrid w:val="0"/>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　</w:t>
            </w:r>
          </w:p>
          <w:p w14:paraId="2BD44B6D">
            <w:pPr>
              <w:overflowPunct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w:t>
            </w:r>
          </w:p>
        </w:tc>
      </w:tr>
      <w:tr w14:paraId="0E56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5C541057">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3</w:t>
            </w:r>
          </w:p>
        </w:tc>
        <w:tc>
          <w:tcPr>
            <w:tcW w:w="602" w:type="dxa"/>
            <w:tcBorders>
              <w:tl2br w:val="nil"/>
              <w:tr2bl w:val="nil"/>
            </w:tcBorders>
            <w:tcMar>
              <w:top w:w="15" w:type="dxa"/>
              <w:left w:w="15" w:type="dxa"/>
              <w:right w:w="15" w:type="dxa"/>
            </w:tcMar>
            <w:vAlign w:val="center"/>
          </w:tcPr>
          <w:p w14:paraId="3DFD874C">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农业防灾减灾资金（</w:t>
            </w:r>
            <w:r>
              <w:rPr>
                <w:rFonts w:hint="default" w:ascii="Times New Roman" w:hAnsi="Times New Roman" w:eastAsia="方正仿宋_GBK" w:cs="Times New Roman"/>
                <w:color w:val="000000"/>
                <w:kern w:val="0"/>
                <w:szCs w:val="21"/>
              </w:rPr>
              <w:t>动物防疫补助</w:t>
            </w:r>
            <w:r>
              <w:rPr>
                <w:rFonts w:hint="default" w:ascii="Times New Roman" w:hAnsi="Times New Roman" w:eastAsia="方正仿宋_GBK" w:cs="Times New Roman"/>
                <w:color w:val="000000"/>
                <w:kern w:val="0"/>
                <w:szCs w:val="21"/>
                <w:lang w:eastAsia="zh-CN"/>
              </w:rPr>
              <w:t>）</w:t>
            </w:r>
          </w:p>
        </w:tc>
        <w:tc>
          <w:tcPr>
            <w:tcW w:w="1171" w:type="dxa"/>
            <w:tcBorders>
              <w:tl2br w:val="nil"/>
              <w:tr2bl w:val="nil"/>
            </w:tcBorders>
            <w:tcMar>
              <w:top w:w="15" w:type="dxa"/>
              <w:left w:w="15" w:type="dxa"/>
              <w:right w:w="15" w:type="dxa"/>
            </w:tcMar>
            <w:vAlign w:val="center"/>
          </w:tcPr>
          <w:p w14:paraId="19DF15B7">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14:paraId="1B7166BC">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1.政策依据</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4D9AA6A9">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63858094">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3.补贴结果</w:t>
            </w:r>
            <w:r>
              <w:rPr>
                <w:rFonts w:hint="eastAsia"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 xml:space="preserve">   </w:t>
            </w:r>
          </w:p>
          <w:p w14:paraId="50F919FF">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4.监督渠道：包括举报电话、地址等。</w:t>
            </w:r>
          </w:p>
        </w:tc>
        <w:tc>
          <w:tcPr>
            <w:tcW w:w="3708" w:type="dxa"/>
            <w:tcBorders>
              <w:tl2br w:val="nil"/>
              <w:tr2bl w:val="nil"/>
            </w:tcBorders>
            <w:tcMar>
              <w:top w:w="15" w:type="dxa"/>
              <w:left w:w="15" w:type="dxa"/>
              <w:right w:w="15" w:type="dxa"/>
            </w:tcMar>
            <w:vAlign w:val="center"/>
          </w:tcPr>
          <w:p w14:paraId="265365C3">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《中华人民共和国动物防疫法》、《财政部 农业农村部</w:t>
            </w:r>
            <w:r>
              <w:rPr>
                <w:rFonts w:hint="default" w:ascii="Times New Roman" w:hAnsi="Times New Roman" w:eastAsia="方正仿宋_GBK" w:cs="Times New Roman"/>
                <w:color w:val="000000"/>
                <w:kern w:val="0"/>
                <w:szCs w:val="21"/>
                <w:lang w:val="en"/>
              </w:rPr>
              <w:t xml:space="preserve"> </w:t>
            </w:r>
            <w:r>
              <w:rPr>
                <w:rFonts w:hint="default" w:ascii="Times New Roman" w:hAnsi="Times New Roman" w:eastAsia="方正仿宋_GBK" w:cs="Times New Roman"/>
                <w:color w:val="000000"/>
                <w:kern w:val="0"/>
                <w:szCs w:val="21"/>
                <w:lang w:val="en" w:eastAsia="zh-CN"/>
              </w:rPr>
              <w:t>水利部</w:t>
            </w:r>
            <w:r>
              <w:rPr>
                <w:rFonts w:hint="default" w:ascii="Times New Roman" w:hAnsi="Times New Roman" w:eastAsia="方正仿宋_GBK" w:cs="Times New Roman"/>
                <w:color w:val="000000"/>
                <w:kern w:val="0"/>
                <w:szCs w:val="21"/>
              </w:rPr>
              <w:t>关于印发农业</w:t>
            </w:r>
            <w:r>
              <w:rPr>
                <w:rFonts w:hint="default" w:ascii="Times New Roman" w:hAnsi="Times New Roman" w:eastAsia="方正仿宋_GBK" w:cs="Times New Roman"/>
                <w:color w:val="000000"/>
                <w:kern w:val="0"/>
                <w:szCs w:val="21"/>
                <w:lang w:eastAsia="zh-CN"/>
              </w:rPr>
              <w:t>防灾减灾和水利救灾</w:t>
            </w:r>
            <w:r>
              <w:rPr>
                <w:rFonts w:hint="default" w:ascii="Times New Roman" w:hAnsi="Times New Roman" w:eastAsia="方正仿宋_GBK" w:cs="Times New Roman"/>
                <w:color w:val="000000"/>
                <w:kern w:val="0"/>
                <w:szCs w:val="21"/>
              </w:rPr>
              <w:t>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号）</w:t>
            </w:r>
          </w:p>
        </w:tc>
        <w:tc>
          <w:tcPr>
            <w:tcW w:w="1260" w:type="dxa"/>
            <w:tcBorders>
              <w:tl2br w:val="nil"/>
              <w:tr2bl w:val="nil"/>
            </w:tcBorders>
            <w:tcMar>
              <w:top w:w="15" w:type="dxa"/>
              <w:left w:w="15" w:type="dxa"/>
              <w:right w:w="15" w:type="dxa"/>
            </w:tcMar>
            <w:vAlign w:val="center"/>
          </w:tcPr>
          <w:p w14:paraId="3C9FB41B">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505F25E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陈明辉</w:t>
            </w:r>
          </w:p>
        </w:tc>
        <w:tc>
          <w:tcPr>
            <w:tcW w:w="690" w:type="dxa"/>
            <w:tcBorders>
              <w:tl2br w:val="nil"/>
              <w:tr2bl w:val="nil"/>
            </w:tcBorders>
            <w:tcMar>
              <w:top w:w="15" w:type="dxa"/>
              <w:left w:w="15" w:type="dxa"/>
              <w:right w:w="15" w:type="dxa"/>
            </w:tcMar>
            <w:vAlign w:val="center"/>
          </w:tcPr>
          <w:p w14:paraId="5C8E41D7">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_GBK" w:hAnsi="方正仿宋_GBK" w:eastAsia="方正仿宋_GBK" w:cs="方正仿宋_GBK"/>
                <w:color w:val="000000"/>
                <w:sz w:val="21"/>
                <w:szCs w:val="21"/>
                <w:lang w:val="en-US"/>
              </w:rPr>
            </w:pPr>
            <w:r>
              <w:rPr>
                <w:rFonts w:hint="eastAsia" w:ascii="方正仿宋_GBK" w:hAnsi="方正仿宋_GBK" w:eastAsia="方正仿宋_GBK" w:cs="方正仿宋_GBK"/>
                <w:color w:val="auto"/>
                <w:sz w:val="21"/>
                <w:szCs w:val="21"/>
                <w:lang w:val="en-US" w:eastAsia="zh-CN"/>
              </w:rPr>
              <w:t>产业发展服务中心、畜牧站</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54BC6">
            <w:pPr>
              <w:overflowPunct w:val="0"/>
              <w:snapToGrid w:val="0"/>
              <w:jc w:val="center"/>
              <w:rPr>
                <w:rFonts w:hint="eastAsia" w:ascii="方正仿宋_GBK" w:hAnsi="方正仿宋_GBK" w:eastAsia="方正仿宋_GBK" w:cs="方正仿宋_GBK"/>
                <w:sz w:val="21"/>
                <w:szCs w:val="21"/>
                <w:shd w:val="clear" w:color="auto" w:fill="auto"/>
              </w:rPr>
            </w:pPr>
            <w:r>
              <w:rPr>
                <w:rFonts w:hint="eastAsia" w:ascii="方正仿宋_GBK" w:hAnsi="方正仿宋_GBK" w:eastAsia="方正仿宋_GBK" w:cs="方正仿宋_GBK"/>
                <w:b w:val="0"/>
                <w:color w:val="000000"/>
                <w:kern w:val="0"/>
                <w:sz w:val="21"/>
                <w:szCs w:val="21"/>
                <w:shd w:val="clear" w:color="auto" w:fill="auto"/>
                <w:lang w:val="en-US" w:eastAsia="zh-CN"/>
              </w:rPr>
              <w:t>石莲</w:t>
            </w:r>
            <w:r>
              <w:rPr>
                <w:rFonts w:hint="eastAsia" w:ascii="方正仿宋_GBK" w:hAnsi="方正仿宋_GBK" w:eastAsia="方正仿宋_GBK" w:cs="方正仿宋_GBK"/>
                <w:b w:val="0"/>
                <w:color w:val="000000"/>
                <w:kern w:val="0"/>
                <w:sz w:val="21"/>
                <w:szCs w:val="21"/>
                <w:shd w:val="clear" w:color="auto" w:fill="auto"/>
              </w:rPr>
              <w:t>镇人民政府</w:t>
            </w:r>
          </w:p>
        </w:tc>
        <w:tc>
          <w:tcPr>
            <w:tcW w:w="1394" w:type="dxa"/>
            <w:tcBorders>
              <w:tl2br w:val="nil"/>
              <w:tr2bl w:val="nil"/>
            </w:tcBorders>
            <w:tcMar>
              <w:top w:w="15" w:type="dxa"/>
              <w:left w:w="15" w:type="dxa"/>
              <w:right w:w="15" w:type="dxa"/>
            </w:tcMar>
            <w:vAlign w:val="center"/>
          </w:tcPr>
          <w:p w14:paraId="569539A4">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2EB6DB85">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48F70020">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6F194AA9">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06FAA02F">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651B7BE0">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6645B94F">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07B3E4F4">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r w14:paraId="161B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14:paraId="7590E506">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val="en-US" w:eastAsia="zh-CN"/>
              </w:rPr>
              <w:t>4</w:t>
            </w:r>
          </w:p>
        </w:tc>
        <w:tc>
          <w:tcPr>
            <w:tcW w:w="602" w:type="dxa"/>
            <w:tcBorders>
              <w:tl2br w:val="nil"/>
              <w:tr2bl w:val="nil"/>
            </w:tcBorders>
            <w:tcMar>
              <w:top w:w="15" w:type="dxa"/>
              <w:left w:w="15" w:type="dxa"/>
              <w:right w:w="15" w:type="dxa"/>
            </w:tcMar>
            <w:vAlign w:val="center"/>
          </w:tcPr>
          <w:p w14:paraId="5F1B2797">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农业</w:t>
            </w:r>
            <w:r>
              <w:rPr>
                <w:rFonts w:hint="default" w:ascii="Times New Roman" w:hAnsi="Times New Roman" w:eastAsia="方正仿宋_GBK" w:cs="Times New Roman"/>
                <w:color w:val="000000"/>
                <w:kern w:val="0"/>
                <w:szCs w:val="21"/>
                <w:lang w:eastAsia="zh-CN"/>
              </w:rPr>
              <w:t>经营主体能力提升</w:t>
            </w:r>
            <w:r>
              <w:rPr>
                <w:rFonts w:hint="default" w:ascii="Times New Roman" w:hAnsi="Times New Roman" w:eastAsia="方正仿宋_GBK" w:cs="Times New Roman"/>
                <w:color w:val="000000"/>
                <w:kern w:val="0"/>
                <w:szCs w:val="21"/>
              </w:rPr>
              <w:t>资金</w:t>
            </w:r>
          </w:p>
        </w:tc>
        <w:tc>
          <w:tcPr>
            <w:tcW w:w="1171" w:type="dxa"/>
            <w:tcBorders>
              <w:tl2br w:val="nil"/>
              <w:tr2bl w:val="nil"/>
            </w:tcBorders>
            <w:tcMar>
              <w:top w:w="15" w:type="dxa"/>
              <w:left w:w="15" w:type="dxa"/>
              <w:right w:w="15" w:type="dxa"/>
            </w:tcMar>
            <w:vAlign w:val="center"/>
          </w:tcPr>
          <w:p w14:paraId="2C198846">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lang w:eastAsia="zh-CN"/>
              </w:rPr>
              <w:t>高素质</w:t>
            </w:r>
            <w:r>
              <w:rPr>
                <w:rFonts w:hint="default" w:ascii="Times New Roman" w:hAnsi="Times New Roman" w:eastAsia="方正仿宋_GBK" w:cs="Times New Roman"/>
                <w:color w:val="000000"/>
                <w:kern w:val="0"/>
                <w:szCs w:val="21"/>
              </w:rPr>
              <w:t>农民培育</w:t>
            </w:r>
          </w:p>
        </w:tc>
        <w:tc>
          <w:tcPr>
            <w:tcW w:w="2129" w:type="dxa"/>
            <w:tcBorders>
              <w:tl2br w:val="nil"/>
              <w:tr2bl w:val="nil"/>
            </w:tcBorders>
            <w:tcMar>
              <w:top w:w="15" w:type="dxa"/>
              <w:left w:w="15" w:type="dxa"/>
              <w:right w:w="15" w:type="dxa"/>
            </w:tcMar>
            <w:vAlign w:val="center"/>
          </w:tcPr>
          <w:p w14:paraId="29EE53C3">
            <w:pPr>
              <w:widowControl/>
              <w:spacing w:line="300" w:lineRule="exact"/>
              <w:jc w:val="lef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xml:space="preserve">1.政策依据。    </w:t>
            </w:r>
          </w:p>
          <w:p w14:paraId="3008CAA9">
            <w:pPr>
              <w:widowControl/>
              <w:spacing w:line="300" w:lineRule="exact"/>
              <w:jc w:val="left"/>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2.申请指南：补贴对象、补贴范围、补贴标准、申请程序、申请材料、咨询电话、受理单位等。</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3.补贴结果。</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4.监督渠道：举报电话、地址等。</w:t>
            </w:r>
          </w:p>
        </w:tc>
        <w:tc>
          <w:tcPr>
            <w:tcW w:w="3708" w:type="dxa"/>
            <w:tcBorders>
              <w:tl2br w:val="nil"/>
              <w:tr2bl w:val="nil"/>
            </w:tcBorders>
            <w:tcMar>
              <w:top w:w="15" w:type="dxa"/>
              <w:left w:w="15" w:type="dxa"/>
              <w:right w:w="15" w:type="dxa"/>
            </w:tcMar>
            <w:vAlign w:val="center"/>
          </w:tcPr>
          <w:p w14:paraId="1C522E52">
            <w:pPr>
              <w:widowControl/>
              <w:spacing w:line="300" w:lineRule="exact"/>
              <w:jc w:val="both"/>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《财政部 农业农村部关于印发农业相关转移支付资金管理办法的通知》（财农〔202</w:t>
            </w:r>
            <w:r>
              <w:rPr>
                <w:rFonts w:hint="default" w:ascii="Times New Roman" w:hAnsi="Times New Roman" w:eastAsia="方正仿宋_GBK" w:cs="Times New Roman"/>
                <w:color w:val="000000"/>
                <w:kern w:val="0"/>
                <w:szCs w:val="21"/>
                <w:lang w:val="en-US" w:eastAsia="zh-CN"/>
              </w:rPr>
              <w:t>3</w:t>
            </w:r>
            <w:r>
              <w:rPr>
                <w:rFonts w:hint="default" w:ascii="Times New Roman" w:hAnsi="Times New Roman" w:eastAsia="方正仿宋_GBK" w:cs="Times New Roman"/>
                <w:color w:val="000000"/>
                <w:kern w:val="0"/>
                <w:szCs w:val="21"/>
              </w:rPr>
              <w:t>〕1</w:t>
            </w:r>
            <w:r>
              <w:rPr>
                <w:rFonts w:hint="default" w:ascii="Times New Roman" w:hAnsi="Times New Roman" w:eastAsia="方正仿宋_GBK" w:cs="Times New Roman"/>
                <w:color w:val="000000"/>
                <w:kern w:val="0"/>
                <w:szCs w:val="21"/>
                <w:lang w:val="en-US" w:eastAsia="zh-CN"/>
              </w:rPr>
              <w:t>1</w:t>
            </w:r>
            <w:r>
              <w:rPr>
                <w:rFonts w:hint="default" w:ascii="Times New Roman" w:hAnsi="Times New Roman" w:eastAsia="方正仿宋_GBK" w:cs="Times New Roman"/>
                <w:color w:val="000000"/>
                <w:kern w:val="0"/>
                <w:szCs w:val="21"/>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14:paraId="4D8ACDB9">
            <w:pPr>
              <w:widowControl/>
              <w:spacing w:line="300" w:lineRule="exact"/>
              <w:jc w:val="center"/>
              <w:rPr>
                <w:rFonts w:hint="default" w:ascii="Times New Roman" w:hAnsi="Times New Roman" w:eastAsia="宋体" w:cs="Times New Roman"/>
                <w:color w:val="000000"/>
                <w:kern w:val="0"/>
                <w:sz w:val="18"/>
                <w:szCs w:val="18"/>
              </w:rPr>
            </w:pPr>
            <w:r>
              <w:rPr>
                <w:rFonts w:hint="default" w:ascii="Times New Roman" w:hAnsi="Times New Roman" w:eastAsia="方正仿宋_GBK" w:cs="Times New Roman"/>
                <w:color w:val="000000"/>
                <w:kern w:val="0"/>
                <w:szCs w:val="21"/>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14:paraId="5103DAD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陈明辉</w:t>
            </w:r>
          </w:p>
        </w:tc>
        <w:tc>
          <w:tcPr>
            <w:tcW w:w="690" w:type="dxa"/>
            <w:tcBorders>
              <w:tl2br w:val="nil"/>
              <w:tr2bl w:val="nil"/>
            </w:tcBorders>
            <w:tcMar>
              <w:top w:w="15" w:type="dxa"/>
              <w:left w:w="15" w:type="dxa"/>
              <w:right w:w="15" w:type="dxa"/>
            </w:tcMar>
            <w:vAlign w:val="center"/>
          </w:tcPr>
          <w:p w14:paraId="4F67013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lang w:val="en-US" w:eastAsia="zh-CN"/>
              </w:rPr>
              <w:t>产业发展服务中心</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BD2A9">
            <w:pPr>
              <w:overflowPunct w:val="0"/>
              <w:snapToGrid w:val="0"/>
              <w:jc w:val="center"/>
              <w:rPr>
                <w:rFonts w:hint="eastAsia" w:ascii="方正仿宋_GBK" w:hAnsi="方正仿宋_GBK" w:eastAsia="方正仿宋_GBK" w:cs="方正仿宋_GBK"/>
                <w:sz w:val="21"/>
                <w:szCs w:val="21"/>
                <w:shd w:val="clear" w:color="auto" w:fill="auto"/>
              </w:rPr>
            </w:pPr>
            <w:r>
              <w:rPr>
                <w:rFonts w:hint="eastAsia" w:ascii="方正仿宋_GBK" w:hAnsi="方正仿宋_GBK" w:eastAsia="方正仿宋_GBK" w:cs="方正仿宋_GBK"/>
                <w:color w:val="auto"/>
                <w:sz w:val="21"/>
                <w:szCs w:val="21"/>
                <w:shd w:val="clear" w:color="auto" w:fill="auto"/>
                <w:lang w:val="en-US" w:eastAsia="zh-CN"/>
              </w:rPr>
              <w:t>石莲镇人民政府</w:t>
            </w:r>
          </w:p>
        </w:tc>
        <w:tc>
          <w:tcPr>
            <w:tcW w:w="1394" w:type="dxa"/>
            <w:tcBorders>
              <w:tl2br w:val="nil"/>
              <w:tr2bl w:val="nil"/>
            </w:tcBorders>
            <w:tcMar>
              <w:top w:w="15" w:type="dxa"/>
              <w:left w:w="15" w:type="dxa"/>
              <w:right w:w="15" w:type="dxa"/>
            </w:tcMar>
            <w:vAlign w:val="center"/>
          </w:tcPr>
          <w:p w14:paraId="13175A49">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 xml:space="preserve">■政府网站   </w:t>
            </w:r>
          </w:p>
          <w:p w14:paraId="5D2075AC">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color w:val="auto"/>
                <w:kern w:val="0"/>
                <w:sz w:val="21"/>
                <w:szCs w:val="21"/>
                <w:lang w:eastAsia="zh-CN"/>
              </w:rPr>
              <w:t>公共</w:t>
            </w:r>
            <w:r>
              <w:rPr>
                <w:rFonts w:hint="eastAsia" w:ascii="方正仿宋_GBK" w:hAnsi="方正仿宋_GBK" w:eastAsia="方正仿宋_GBK" w:cs="方正仿宋_GBK"/>
                <w:color w:val="auto"/>
                <w:kern w:val="0"/>
                <w:sz w:val="21"/>
                <w:szCs w:val="21"/>
              </w:rPr>
              <w:t>服务中心</w:t>
            </w:r>
            <w:r>
              <w:rPr>
                <w:rFonts w:hint="eastAsia" w:ascii="方正仿宋_GBK" w:hAnsi="方正仿宋_GBK" w:eastAsia="方正仿宋_GBK" w:cs="方正仿宋_GBK"/>
                <w:color w:val="auto"/>
                <w:kern w:val="0"/>
                <w:sz w:val="21"/>
                <w:szCs w:val="21"/>
                <w:lang w:eastAsia="zh-CN"/>
              </w:rPr>
              <w:t>（政务公开专区）</w:t>
            </w:r>
            <w:r>
              <w:rPr>
                <w:rFonts w:hint="eastAsia" w:ascii="方正仿宋_GBK" w:hAnsi="方正仿宋_GBK" w:eastAsia="方正仿宋_GBK" w:cs="方正仿宋_GBK"/>
                <w:color w:val="auto"/>
                <w:kern w:val="0"/>
                <w:sz w:val="21"/>
                <w:szCs w:val="21"/>
              </w:rPr>
              <w:t xml:space="preserve">                                                                                                                                                                                                     ■社区/企事业单位/村公示栏</w:t>
            </w:r>
            <w:r>
              <w:rPr>
                <w:rFonts w:hint="eastAsia" w:ascii="方正仿宋_GBK" w:hAnsi="方正仿宋_GBK" w:eastAsia="方正仿宋_GBK" w:cs="方正仿宋_GBK"/>
                <w:color w:val="auto"/>
                <w:kern w:val="0"/>
                <w:sz w:val="21"/>
                <w:szCs w:val="21"/>
              </w:rPr>
              <w:br w:type="textWrapping"/>
            </w:r>
            <w:r>
              <w:rPr>
                <w:rFonts w:hint="eastAsia" w:ascii="方正仿宋_GBK" w:hAnsi="方正仿宋_GBK" w:eastAsia="方正仿宋_GBK" w:cs="方正仿宋_GBK"/>
                <w:color w:val="auto"/>
                <w:kern w:val="0"/>
                <w:sz w:val="21"/>
                <w:szCs w:val="21"/>
              </w:rPr>
              <w:t xml:space="preserve">（电子屏）         </w:t>
            </w:r>
          </w:p>
        </w:tc>
        <w:tc>
          <w:tcPr>
            <w:tcW w:w="622" w:type="dxa"/>
            <w:tcBorders>
              <w:tl2br w:val="nil"/>
              <w:tr2bl w:val="nil"/>
            </w:tcBorders>
            <w:tcMar>
              <w:top w:w="15" w:type="dxa"/>
              <w:left w:w="15" w:type="dxa"/>
              <w:right w:w="15" w:type="dxa"/>
            </w:tcMar>
            <w:vAlign w:val="center"/>
          </w:tcPr>
          <w:p w14:paraId="3234264D">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73" w:type="dxa"/>
            <w:tcBorders>
              <w:tl2br w:val="nil"/>
              <w:tr2bl w:val="nil"/>
            </w:tcBorders>
            <w:tcMar>
              <w:top w:w="15" w:type="dxa"/>
              <w:left w:w="15" w:type="dxa"/>
              <w:right w:w="15" w:type="dxa"/>
            </w:tcMar>
            <w:vAlign w:val="center"/>
          </w:tcPr>
          <w:p w14:paraId="66FD9DEB">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06" w:type="dxa"/>
            <w:tcBorders>
              <w:tl2br w:val="nil"/>
              <w:tr2bl w:val="nil"/>
            </w:tcBorders>
            <w:tcMar>
              <w:top w:w="15" w:type="dxa"/>
              <w:left w:w="15" w:type="dxa"/>
              <w:right w:w="15" w:type="dxa"/>
            </w:tcMar>
            <w:vAlign w:val="center"/>
          </w:tcPr>
          <w:p w14:paraId="3BCC1C9B">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c>
          <w:tcPr>
            <w:tcW w:w="557" w:type="dxa"/>
            <w:tcBorders>
              <w:tl2br w:val="nil"/>
              <w:tr2bl w:val="nil"/>
            </w:tcBorders>
            <w:tcMar>
              <w:top w:w="15" w:type="dxa"/>
              <w:left w:w="15" w:type="dxa"/>
              <w:right w:w="15" w:type="dxa"/>
            </w:tcMar>
            <w:vAlign w:val="center"/>
          </w:tcPr>
          <w:p w14:paraId="3D8D134D">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tc>
        <w:tc>
          <w:tcPr>
            <w:tcW w:w="534" w:type="dxa"/>
            <w:tcBorders>
              <w:tl2br w:val="nil"/>
              <w:tr2bl w:val="nil"/>
            </w:tcBorders>
            <w:tcMar>
              <w:top w:w="15" w:type="dxa"/>
              <w:left w:w="15" w:type="dxa"/>
              <w:right w:w="15" w:type="dxa"/>
            </w:tcMar>
            <w:vAlign w:val="center"/>
          </w:tcPr>
          <w:p w14:paraId="5B6934C1">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　</w:t>
            </w:r>
          </w:p>
          <w:p w14:paraId="369A0DDB">
            <w:pPr>
              <w:overflowPunct w:val="0"/>
              <w:snapToGrid w:val="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w:t>
            </w:r>
          </w:p>
        </w:tc>
      </w:tr>
    </w:tbl>
    <w:p w14:paraId="36BCD07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NGEyNDYxMzVlY2Q4N2ZjNWQ2MjM3MWJhNmI3YzQifQ=="/>
  </w:docVars>
  <w:rsids>
    <w:rsidRoot w:val="0052371F"/>
    <w:rsid w:val="0052371F"/>
    <w:rsid w:val="01BC5231"/>
    <w:rsid w:val="0E1421A8"/>
    <w:rsid w:val="14CC73D7"/>
    <w:rsid w:val="17196E38"/>
    <w:rsid w:val="23E40C91"/>
    <w:rsid w:val="37B80982"/>
    <w:rsid w:val="3EBF6EFC"/>
    <w:rsid w:val="3F3F011D"/>
    <w:rsid w:val="4C761A0A"/>
    <w:rsid w:val="53601FA7"/>
    <w:rsid w:val="570F757A"/>
    <w:rsid w:val="5C895A76"/>
    <w:rsid w:val="5D2508FC"/>
    <w:rsid w:val="7FCD1E6F"/>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1410</Words>
  <Characters>1486</Characters>
  <Lines>24</Lines>
  <Paragraphs>7</Paragraphs>
  <TotalTime>8</TotalTime>
  <ScaleCrop>false</ScaleCrop>
  <LinksUpToDate>false</LinksUpToDate>
  <CharactersWithSpaces>2690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2023-10-13T14:18:00Z</dcterms:created>
  <dc:creator>Administrator</dc:creator>
  <cp:lastModifiedBy>橩</cp:lastModifiedBy>
  <cp:lastPrinted>2025-02-11T07:31:00Z</cp:lastPrinted>
  <dcterms:modified xsi:type="dcterms:W3CDTF">2026-01-22T08:52:35Z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B15B7A1B65FC435DA72CE83A34C364D9_13</vt:lpwstr>
  </property>
  <property fmtid="{D5CDD505-2E9C-101B-9397-08002B2CF9AE}" pid="4" name="KSOTemplateDocerSaveRecord">
    <vt:lpwstr>eyJoZGlkIjoiZTM5YjlmMDdlODIwODZlNDJjNjU0OGY0NjkwZGY2OGUiLCJ1c2VySWQiOiI0MTIzNTAzNTgifQ==</vt:lpwstr>
  </property>
</Properties>
</file>