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40"/>
          <w:tab w:val="left" w:pos="9720"/>
        </w:tabs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南川区公益性岗位拟聘人员公示表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楷体_GBK"/>
          <w:bCs/>
          <w:color w:val="000000"/>
          <w:sz w:val="32"/>
          <w:szCs w:val="32"/>
        </w:rPr>
      </w:pPr>
      <w:r>
        <w:rPr>
          <w:rFonts w:hint="eastAsia" w:eastAsia="方正楷体_GBK"/>
          <w:bCs/>
          <w:color w:val="000000"/>
          <w:sz w:val="32"/>
          <w:szCs w:val="32"/>
        </w:rPr>
        <w:t>经</w:t>
      </w:r>
      <w:r>
        <w:rPr>
          <w:rFonts w:hint="eastAsia" w:eastAsia="方正楷体_GBK"/>
          <w:bCs/>
          <w:color w:val="000000"/>
          <w:sz w:val="32"/>
          <w:szCs w:val="32"/>
          <w:lang w:eastAsia="zh-CN"/>
        </w:rPr>
        <w:t>神童镇</w:t>
      </w:r>
      <w:r>
        <w:rPr>
          <w:rFonts w:hint="eastAsia" w:eastAsia="方正楷体_GBK"/>
          <w:bCs/>
          <w:color w:val="000000"/>
          <w:sz w:val="32"/>
          <w:szCs w:val="32"/>
        </w:rPr>
        <w:t>人民政府确定招聘以下就业困难人员拟安置到公益性岗位就业：</w:t>
      </w:r>
    </w:p>
    <w:tbl>
      <w:tblPr>
        <w:tblStyle w:val="4"/>
        <w:tblW w:w="88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74"/>
        <w:gridCol w:w="992"/>
        <w:gridCol w:w="991"/>
        <w:gridCol w:w="1979"/>
        <w:gridCol w:w="2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w w:val="9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拟聘岗位名称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eastAsia="zh-CN"/>
              </w:rPr>
              <w:t>邓天祥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eastAsia="zh-CN"/>
              </w:rPr>
              <w:t>男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eastAsia="zh-CN"/>
              </w:rPr>
              <w:t>脱贫人口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eastAsia="zh-CN"/>
              </w:rPr>
              <w:t>公共环境卫生保洁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eastAsia="方正仿宋_GBK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公示时间：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日至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eastAsia="方正仿宋_GBK"/>
          <w:b w:val="0"/>
          <w:bCs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如对以上公示有疑议，请向南川区就业和人才中心反映。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联系电话：</w:t>
      </w:r>
      <w:r>
        <w:rPr>
          <w:rFonts w:eastAsia="方正仿宋_GBK"/>
          <w:b w:val="0"/>
          <w:bCs w:val="0"/>
          <w:color w:val="000000"/>
          <w:kern w:val="0"/>
          <w:sz w:val="32"/>
          <w:szCs w:val="32"/>
        </w:rPr>
        <w:t>023-71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421296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地址：南川区金山大道</w:t>
      </w:r>
      <w:r>
        <w:rPr>
          <w:rFonts w:eastAsia="方正仿宋_GBK"/>
          <w:b w:val="0"/>
          <w:bCs w:val="0"/>
          <w:color w:val="000000"/>
          <w:kern w:val="0"/>
          <w:sz w:val="32"/>
          <w:szCs w:val="32"/>
        </w:rPr>
        <w:t>31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号人力社保局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311</w:t>
      </w:r>
      <w:r>
        <w:rPr>
          <w:rFonts w:hint="eastAsia" w:eastAsia="方正仿宋_GBK"/>
          <w:b w:val="0"/>
          <w:bCs w:val="0"/>
          <w:color w:val="000000"/>
          <w:kern w:val="0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eastAsia="方正仿宋_GBK"/>
          <w:color w:val="000000"/>
          <w:kern w:val="0"/>
          <w:sz w:val="32"/>
          <w:szCs w:val="32"/>
          <w:lang w:eastAsia="zh-CN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重庆市南川区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神童镇人民政府</w:t>
      </w:r>
    </w:p>
    <w:p>
      <w:pPr>
        <w:widowControl/>
        <w:spacing w:line="6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 xml:space="preserve">2025 </w:t>
      </w:r>
      <w:r>
        <w:rPr>
          <w:rFonts w:hint="eastAsia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0946"/>
    <w:rsid w:val="190137A9"/>
    <w:rsid w:val="28A14726"/>
    <w:rsid w:val="29D764CF"/>
    <w:rsid w:val="3DB35F16"/>
    <w:rsid w:val="3F24780A"/>
    <w:rsid w:val="6532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2025-10-10T02:10:00Z</dcterms:created>
  <dc:creator>Administrator</dc:creator>
  <cp:lastModifiedBy>神童政府</cp:lastModifiedBy>
  <cp:lastPrinted>2025-10-11T03:52:00Z</cp:lastPrinted>
  <dcterms:modified xsi:type="dcterms:W3CDTF">2025-10-11T09:05:52Z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