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sz w:val="44"/>
          <w:szCs w:val="44"/>
          <w:lang w:val="en-US" w:eastAsia="zh-CN"/>
        </w:rPr>
        <w:t>西城街道办事处</w:t>
      </w:r>
      <w:r>
        <w:rPr>
          <w:rFonts w:hint="eastAsia" w:ascii="方正小标宋_GBK" w:hAnsi="方正小标宋_GBK" w:eastAsia="方正小标宋_GBK" w:cs="方正小标宋_GBK"/>
          <w:color w:val="000000"/>
          <w:kern w:val="0"/>
          <w:sz w:val="44"/>
          <w:szCs w:val="44"/>
          <w:lang w:eastAsia="zh-CN"/>
        </w:rPr>
        <w:t>公共法律</w:t>
      </w:r>
      <w:r>
        <w:rPr>
          <w:rFonts w:hint="eastAsia" w:ascii="方正小标宋_GBK" w:hAnsi="方正小标宋_GBK" w:eastAsia="方正小标宋_GBK" w:cs="方正小标宋_GBK"/>
          <w:color w:val="000000"/>
          <w:kern w:val="0"/>
          <w:sz w:val="44"/>
          <w:szCs w:val="44"/>
        </w:rPr>
        <w:t>服务领域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2026年版</w:t>
      </w:r>
      <w:r>
        <w:rPr>
          <w:rFonts w:hint="eastAsia" w:ascii="方正小标宋_GBK" w:hAnsi="方正小标宋_GBK" w:eastAsia="方正小标宋_GBK" w:cs="方正小标宋_GBK"/>
          <w:color w:val="000000"/>
          <w:kern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5"/>
        <w:tblW w:w="16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2992"/>
        <w:gridCol w:w="687"/>
        <w:gridCol w:w="492"/>
        <w:gridCol w:w="750"/>
        <w:gridCol w:w="962"/>
        <w:gridCol w:w="2609"/>
        <w:gridCol w:w="622"/>
        <w:gridCol w:w="573"/>
        <w:gridCol w:w="506"/>
        <w:gridCol w:w="557"/>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序号</w:t>
            </w:r>
          </w:p>
        </w:tc>
        <w:tc>
          <w:tcPr>
            <w:tcW w:w="177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公开事项</w:t>
            </w:r>
          </w:p>
        </w:tc>
        <w:tc>
          <w:tcPr>
            <w:tcW w:w="212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公开内容</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（要素）</w:t>
            </w:r>
          </w:p>
        </w:tc>
        <w:tc>
          <w:tcPr>
            <w:tcW w:w="2992"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公开依据</w:t>
            </w:r>
          </w:p>
        </w:tc>
        <w:tc>
          <w:tcPr>
            <w:tcW w:w="687"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公开时限</w:t>
            </w:r>
          </w:p>
        </w:tc>
        <w:tc>
          <w:tcPr>
            <w:tcW w:w="492"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领导</w:t>
            </w:r>
          </w:p>
        </w:tc>
        <w:tc>
          <w:tcPr>
            <w:tcW w:w="75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单位</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pPr>
            <w:r>
              <w:rPr>
                <w:rFonts w:hint="eastAsia" w:ascii="宋体" w:hAnsi="宋体" w:eastAsia="宋体"/>
                <w:b w:val="0"/>
                <w:bCs/>
                <w:color w:val="000000"/>
                <w:kern w:val="0"/>
                <w:sz w:val="18"/>
                <w:szCs w:val="18"/>
              </w:rPr>
              <w:t>公开</w:t>
            </w:r>
            <w:r>
              <w:rPr>
                <w:rFonts w:ascii="宋体" w:hAnsi="宋体" w:eastAsia="宋体"/>
                <w:b w:val="0"/>
                <w:bCs/>
                <w:color w:val="000000"/>
                <w:kern w:val="0"/>
                <w:sz w:val="18"/>
                <w:szCs w:val="18"/>
              </w:rPr>
              <w:br w:type="textWrapping"/>
            </w:r>
            <w:r>
              <w:rPr>
                <w:rFonts w:hint="eastAsia" w:ascii="宋体" w:hAnsi="宋体" w:eastAsia="宋体"/>
                <w:b w:val="0"/>
                <w:bCs/>
                <w:color w:val="000000"/>
                <w:kern w:val="0"/>
                <w:sz w:val="18"/>
                <w:szCs w:val="18"/>
              </w:rPr>
              <w:t>主体</w:t>
            </w:r>
          </w:p>
        </w:tc>
        <w:tc>
          <w:tcPr>
            <w:tcW w:w="260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ascii="方正黑体_GBK" w:hAnsi="方正黑体_GBK" w:eastAsia="方正黑体_GBK" w:cs="方正黑体_GBK"/>
                <w:color w:val="000000"/>
                <w:sz w:val="18"/>
              </w:rPr>
              <w:t>公开渠道和载体</w:t>
            </w:r>
          </w:p>
        </w:tc>
        <w:tc>
          <w:tcPr>
            <w:tcW w:w="1195"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公开对象</w:t>
            </w:r>
          </w:p>
        </w:tc>
        <w:tc>
          <w:tcPr>
            <w:tcW w:w="106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公开方式</w:t>
            </w:r>
          </w:p>
        </w:tc>
        <w:tc>
          <w:tcPr>
            <w:tcW w:w="910" w:type="dxa"/>
            <w:tcBorders>
              <w:tl2br w:val="nil"/>
              <w:tr2bl w:val="nil"/>
            </w:tcBorders>
            <w:tcMar>
              <w:top w:w="15" w:type="dxa"/>
              <w:left w:w="15" w:type="dxa"/>
              <w:right w:w="15" w:type="dxa"/>
            </w:tcMar>
            <w:vAlign w:val="center"/>
          </w:tcPr>
          <w:p>
            <w:pPr>
              <w:widowControl/>
              <w:spacing w:line="310" w:lineRule="exact"/>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pPr>
              <w:spacing w:line="310" w:lineRule="exact"/>
              <w:jc w:val="center"/>
              <w:rPr>
                <w:rFonts w:ascii="方正黑体_GBK" w:hAnsi="方正黑体_GBK" w:eastAsia="方正黑体_GBK" w:cs="方正黑体_GBK"/>
                <w:color w:val="000000"/>
                <w:sz w:val="18"/>
                <w:szCs w:val="18"/>
              </w:rPr>
            </w:pPr>
          </w:p>
        </w:tc>
        <w:tc>
          <w:tcPr>
            <w:tcW w:w="602"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一级</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1171"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二级</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2129"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p>
        </w:tc>
        <w:tc>
          <w:tcPr>
            <w:tcW w:w="2992"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p>
        </w:tc>
        <w:tc>
          <w:tcPr>
            <w:tcW w:w="687"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p>
        </w:tc>
        <w:tc>
          <w:tcPr>
            <w:tcW w:w="492" w:type="dxa"/>
            <w:vMerge w:val="continue"/>
            <w:tcBorders>
              <w:tl2br w:val="nil"/>
              <w:tr2bl w:val="nil"/>
            </w:tcBorders>
            <w:tcMar>
              <w:top w:w="15" w:type="dxa"/>
              <w:left w:w="15" w:type="dxa"/>
              <w:right w:w="15" w:type="dxa"/>
            </w:tcMar>
            <w:vAlign w:val="center"/>
          </w:tcPr>
          <w:p>
            <w:pPr>
              <w:spacing w:line="310" w:lineRule="exact"/>
              <w:jc w:val="center"/>
              <w:rPr>
                <w:rFonts w:ascii="方正黑体_GBK" w:hAnsi="方正黑体_GBK" w:eastAsia="方正黑体_GBK" w:cs="方正黑体_GBK"/>
                <w:color w:val="000000"/>
                <w:sz w:val="18"/>
                <w:szCs w:val="18"/>
              </w:rPr>
            </w:pPr>
          </w:p>
        </w:tc>
        <w:tc>
          <w:tcPr>
            <w:tcW w:w="750" w:type="dxa"/>
            <w:vMerge w:val="continue"/>
            <w:tcBorders>
              <w:tl2br w:val="nil"/>
              <w:tr2bl w:val="nil"/>
            </w:tcBorders>
            <w:tcMar>
              <w:top w:w="15" w:type="dxa"/>
              <w:left w:w="15" w:type="dxa"/>
              <w:right w:w="15" w:type="dxa"/>
            </w:tcMar>
            <w:vAlign w:val="center"/>
          </w:tcPr>
          <w:p>
            <w:pPr>
              <w:spacing w:line="310" w:lineRule="exact"/>
              <w:jc w:val="center"/>
              <w:rPr>
                <w:rFonts w:ascii="方正黑体_GBK" w:hAnsi="方正黑体_GBK" w:eastAsia="方正黑体_GBK" w:cs="方正黑体_GBK"/>
                <w:color w:val="000000"/>
                <w:sz w:val="18"/>
                <w:szCs w:val="18"/>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pPr>
          </w:p>
        </w:tc>
        <w:tc>
          <w:tcPr>
            <w:tcW w:w="2609" w:type="dxa"/>
            <w:vMerge w:val="continue"/>
            <w:tcBorders>
              <w:tl2br w:val="nil"/>
              <w:tr2bl w:val="nil"/>
            </w:tcBorders>
            <w:tcMar>
              <w:top w:w="15" w:type="dxa"/>
              <w:left w:w="15" w:type="dxa"/>
              <w:right w:w="15" w:type="dxa"/>
            </w:tcMar>
            <w:vAlign w:val="center"/>
          </w:tcPr>
          <w:p>
            <w:pPr>
              <w:spacing w:line="310" w:lineRule="exact"/>
              <w:jc w:val="center"/>
              <w:rPr>
                <w:rFonts w:ascii="方正黑体_GBK" w:hAnsi="方正黑体_GBK" w:eastAsia="方正黑体_GBK" w:cs="方正黑体_GBK"/>
                <w:color w:val="000000"/>
                <w:sz w:val="18"/>
                <w:szCs w:val="18"/>
              </w:rPr>
            </w:pPr>
          </w:p>
        </w:tc>
        <w:tc>
          <w:tcPr>
            <w:tcW w:w="622"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全社会</w:t>
            </w:r>
          </w:p>
        </w:tc>
        <w:tc>
          <w:tcPr>
            <w:tcW w:w="573"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特定</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群体</w:t>
            </w:r>
          </w:p>
        </w:tc>
        <w:tc>
          <w:tcPr>
            <w:tcW w:w="506"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主动</w:t>
            </w:r>
          </w:p>
        </w:tc>
        <w:tc>
          <w:tcPr>
            <w:tcW w:w="557"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依申</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请</w:t>
            </w:r>
          </w:p>
        </w:tc>
        <w:tc>
          <w:tcPr>
            <w:tcW w:w="910"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lang w:eastAsia="zh-CN"/>
              </w:rPr>
              <w:t>乡镇</w:t>
            </w:r>
            <w:r>
              <w:rPr>
                <w:rFonts w:hint="eastAsia" w:ascii="方正黑体_GBK" w:hAnsi="方正黑体_GBK" w:eastAsia="方正黑体_GBK" w:cs="方正黑体_GBK"/>
                <w:color w:val="00000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w:t>
            </w:r>
          </w:p>
        </w:tc>
        <w:tc>
          <w:tcPr>
            <w:tcW w:w="60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行政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给付</w:t>
            </w:r>
          </w:p>
          <w:p>
            <w:pPr>
              <w:overflowPunct w:val="0"/>
              <w:snapToGrid w:val="0"/>
              <w:jc w:val="center"/>
              <w:rPr>
                <w:rFonts w:hint="eastAsia" w:ascii="Times New Roman" w:hAnsi="Times New Roman" w:eastAsia="宋体" w:cs="宋体"/>
                <w:color w:val="000000"/>
                <w:kern w:val="0"/>
                <w:sz w:val="18"/>
                <w:szCs w:val="18"/>
              </w:rPr>
            </w:pPr>
          </w:p>
        </w:tc>
        <w:tc>
          <w:tcPr>
            <w:tcW w:w="1171"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人民调解员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补贴发放</w:t>
            </w:r>
          </w:p>
          <w:p>
            <w:pPr>
              <w:overflowPunct w:val="0"/>
              <w:snapToGrid w:val="0"/>
              <w:jc w:val="center"/>
              <w:rPr>
                <w:rFonts w:hint="eastAsia" w:ascii="Times New Roman" w:hAnsi="Times New Roman" w:eastAsia="宋体" w:cs="宋体"/>
                <w:color w:val="000000"/>
                <w:kern w:val="0"/>
                <w:sz w:val="18"/>
                <w:szCs w:val="18"/>
              </w:rPr>
            </w:pPr>
          </w:p>
        </w:tc>
        <w:tc>
          <w:tcPr>
            <w:tcW w:w="2129"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依据、条件、程序以及发放情况</w:t>
            </w:r>
          </w:p>
          <w:p>
            <w:pPr>
              <w:overflowPunct w:val="0"/>
              <w:snapToGrid w:val="0"/>
              <w:jc w:val="center"/>
              <w:rPr>
                <w:rFonts w:hint="eastAsia" w:ascii="Times New Roman" w:hAnsi="Times New Roman" w:eastAsia="宋体" w:cs="宋体"/>
                <w:color w:val="000000"/>
                <w:kern w:val="0"/>
                <w:sz w:val="18"/>
                <w:szCs w:val="18"/>
              </w:rPr>
            </w:pPr>
          </w:p>
        </w:tc>
        <w:tc>
          <w:tcPr>
            <w:tcW w:w="2992" w:type="dxa"/>
            <w:tcBorders>
              <w:tl2br w:val="nil"/>
              <w:tr2bl w:val="nil"/>
            </w:tcBorders>
            <w:tcMar>
              <w:top w:w="15" w:type="dxa"/>
              <w:left w:w="15" w:type="dxa"/>
              <w:right w:w="15" w:type="dxa"/>
            </w:tcMar>
            <w:vAlign w:val="center"/>
          </w:tcPr>
          <w:p>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《中华人民共和国人民调解法》</w:t>
            </w:r>
          </w:p>
          <w:p>
            <w:pPr>
              <w:overflowPunct w:val="0"/>
              <w:snapToGrid w:val="0"/>
              <w:jc w:val="left"/>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p>
            <w:pPr>
              <w:overflowPunct w:val="0"/>
              <w:snapToGrid w:val="0"/>
              <w:jc w:val="left"/>
              <w:rPr>
                <w:rFonts w:hint="eastAsia" w:ascii="Times New Roman" w:hAnsi="Times New Roman" w:eastAsia="宋体" w:cs="宋体"/>
                <w:color w:val="000000"/>
                <w:kern w:val="0"/>
                <w:sz w:val="18"/>
                <w:szCs w:val="18"/>
              </w:rPr>
            </w:pPr>
          </w:p>
        </w:tc>
        <w:tc>
          <w:tcPr>
            <w:tcW w:w="68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制作或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获取信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息之日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起20 个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工作日内</w:t>
            </w:r>
          </w:p>
        </w:tc>
        <w:tc>
          <w:tcPr>
            <w:tcW w:w="492"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周廷勇</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宋体" w:hAnsi="宋体" w:eastAsia="宋体" w:cs="宋体"/>
                <w:color w:val="000000"/>
                <w:sz w:val="18"/>
                <w:szCs w:val="18"/>
              </w:rPr>
            </w:pPr>
            <w:r>
              <w:rPr>
                <w:rFonts w:hint="eastAsia" w:ascii="宋体" w:hAnsi="宋体" w:eastAsia="宋体" w:cs="宋体"/>
                <w:color w:val="auto"/>
                <w:sz w:val="18"/>
                <w:szCs w:val="18"/>
                <w:lang w:eastAsia="zh-CN"/>
              </w:rPr>
              <w:t>法治建设岗</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pPr>
            <w:r>
              <w:rPr>
                <w:rFonts w:hint="eastAsia" w:ascii="宋体" w:hAnsi="宋体" w:eastAsia="宋体"/>
                <w:b w:val="0"/>
                <w:color w:val="000000"/>
                <w:kern w:val="0"/>
                <w:sz w:val="18"/>
                <w:szCs w:val="18"/>
                <w:lang w:eastAsia="zh-CN"/>
              </w:rPr>
              <w:t>西城街道办事处</w:t>
            </w:r>
          </w:p>
        </w:tc>
        <w:tc>
          <w:tcPr>
            <w:tcW w:w="2609" w:type="dxa"/>
            <w:tcBorders>
              <w:tl2br w:val="nil"/>
              <w:tr2bl w:val="nil"/>
            </w:tcBorders>
            <w:tcMar>
              <w:top w:w="15" w:type="dxa"/>
              <w:left w:w="15" w:type="dxa"/>
              <w:right w:w="15" w:type="dxa"/>
            </w:tcMar>
            <w:vAlign w:val="center"/>
          </w:tcPr>
          <w:p>
            <w:pPr>
              <w:overflowPunct w:val="0"/>
              <w:snapToGrid w:val="0"/>
              <w:jc w:val="left"/>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tc>
        <w:tc>
          <w:tcPr>
            <w:tcW w:w="910" w:type="dxa"/>
            <w:tcBorders>
              <w:tl2br w:val="nil"/>
              <w:tr2bl w:val="nil"/>
            </w:tcBorders>
            <w:tcMar>
              <w:top w:w="15" w:type="dxa"/>
              <w:left w:w="15" w:type="dxa"/>
              <w:right w:w="15" w:type="dxa"/>
            </w:tcMar>
            <w:vAlign w:val="center"/>
          </w:tcPr>
          <w:p>
            <w:pPr>
              <w:overflowPunct w:val="0"/>
              <w:snapToGrid w:val="0"/>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w:t>
            </w:r>
          </w:p>
        </w:tc>
        <w:tc>
          <w:tcPr>
            <w:tcW w:w="60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咨询服务</w:t>
            </w:r>
          </w:p>
        </w:tc>
        <w:tc>
          <w:tcPr>
            <w:tcW w:w="1171"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公共法律服务实体平台、热线平台、网络平台咨询服务</w:t>
            </w:r>
          </w:p>
        </w:tc>
        <w:tc>
          <w:tcPr>
            <w:tcW w:w="2129"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公共法律服务实体、热线、网络平台法律咨询服务指南</w:t>
            </w:r>
          </w:p>
        </w:tc>
        <w:tc>
          <w:tcPr>
            <w:tcW w:w="2992" w:type="dxa"/>
            <w:tcBorders>
              <w:tl2br w:val="nil"/>
              <w:tr2bl w:val="nil"/>
            </w:tcBorders>
            <w:tcMar>
              <w:top w:w="15" w:type="dxa"/>
              <w:left w:w="15" w:type="dxa"/>
              <w:right w:w="15" w:type="dxa"/>
            </w:tcMar>
            <w:vAlign w:val="center"/>
          </w:tcPr>
          <w:p>
            <w:pPr>
              <w:overflowPunct w:val="0"/>
              <w:snapToGrid w:val="0"/>
              <w:jc w:val="left"/>
              <w:rPr>
                <w:rFonts w:eastAsia="方正仿宋_GBK" w:cs="方正仿宋_GBK"/>
                <w:kern w:val="0"/>
                <w:sz w:val="21"/>
                <w:szCs w:val="21"/>
                <w:lang w:bidi="ar"/>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《司法部办公厅关于印发</w:t>
            </w:r>
            <w:bookmarkStart w:id="0" w:name="_GoBack"/>
            <w:bookmarkEnd w:id="0"/>
            <w:r>
              <w:rPr>
                <w:rFonts w:hint="eastAsia" w:ascii="Times New Roman" w:hAnsi="Times New Roman" w:eastAsia="宋体" w:cs="宋体"/>
                <w:color w:val="000000"/>
                <w:kern w:val="0"/>
                <w:sz w:val="18"/>
                <w:szCs w:val="18"/>
                <w:lang w:val="en-US" w:eastAsia="zh-CN"/>
              </w:rPr>
              <w:t>公共法律服务领域基层政务公开标准指引的通知》（司办通〔2019〕57号）</w:t>
            </w:r>
          </w:p>
          <w:p>
            <w:pPr>
              <w:overflowPunct w:val="0"/>
              <w:snapToGrid w:val="0"/>
              <w:jc w:val="left"/>
              <w:rPr>
                <w:rFonts w:hint="eastAsia" w:ascii="Times New Roman" w:hAnsi="Times New Roman" w:eastAsia="宋体" w:cs="宋体"/>
                <w:color w:val="000000"/>
                <w:kern w:val="0"/>
                <w:sz w:val="18"/>
                <w:szCs w:val="18"/>
                <w:lang w:val="zh-CN" w:eastAsia="zh-CN" w:bidi="ar-SA"/>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制作或获取信息之日起20个工作日内</w:t>
            </w:r>
          </w:p>
        </w:tc>
        <w:tc>
          <w:tcPr>
            <w:tcW w:w="492"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周廷勇</w:t>
            </w:r>
          </w:p>
        </w:tc>
        <w:tc>
          <w:tcPr>
            <w:tcW w:w="750"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auto"/>
                <w:sz w:val="18"/>
                <w:szCs w:val="18"/>
                <w:lang w:eastAsia="zh-CN"/>
              </w:rPr>
              <w:t>法治建设岗</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pPr>
            <w:r>
              <w:rPr>
                <w:rFonts w:hint="eastAsia" w:ascii="宋体" w:hAnsi="宋体" w:eastAsia="宋体"/>
                <w:b w:val="0"/>
                <w:color w:val="000000"/>
                <w:kern w:val="0"/>
                <w:sz w:val="18"/>
                <w:szCs w:val="18"/>
                <w:lang w:eastAsia="zh-CN"/>
              </w:rPr>
              <w:t>西城街道办事处</w:t>
            </w:r>
          </w:p>
        </w:tc>
        <w:tc>
          <w:tcPr>
            <w:tcW w:w="2609" w:type="dxa"/>
            <w:tcBorders>
              <w:tl2br w:val="nil"/>
              <w:tr2bl w:val="nil"/>
            </w:tcBorders>
            <w:tcMar>
              <w:top w:w="15" w:type="dxa"/>
              <w:left w:w="15" w:type="dxa"/>
              <w:right w:w="15" w:type="dxa"/>
            </w:tcMar>
            <w:vAlign w:val="center"/>
          </w:tcPr>
          <w:p>
            <w:pPr>
              <w:overflowPunct w:val="0"/>
              <w:snapToGrid w:val="0"/>
              <w:jc w:val="left"/>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w:t>
            </w:r>
          </w:p>
        </w:tc>
        <w:tc>
          <w:tcPr>
            <w:tcW w:w="60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查询服务</w:t>
            </w:r>
          </w:p>
        </w:tc>
        <w:tc>
          <w:tcPr>
            <w:tcW w:w="1171"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公共法律服务实体、热线、网络平台信息</w:t>
            </w:r>
          </w:p>
        </w:tc>
        <w:tc>
          <w:tcPr>
            <w:tcW w:w="2129"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公共法律服务平台建设相关规划，实体场所地址、热线电话、中国法网和重庆法网网址，公共法律服务事项清单及服务指南</w:t>
            </w:r>
          </w:p>
        </w:tc>
        <w:tc>
          <w:tcPr>
            <w:tcW w:w="299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《司法部办公厅关于印发公共法律服务领域基层政务公开标准指引的通知》（司办通〔2019〕57号）</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sz w:val="18"/>
                <w:szCs w:val="18"/>
                <w:lang w:eastAsia="zh-CN"/>
              </w:rPr>
              <w:t>周廷勇</w:t>
            </w:r>
          </w:p>
        </w:tc>
        <w:tc>
          <w:tcPr>
            <w:tcW w:w="75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auto"/>
                <w:sz w:val="18"/>
                <w:szCs w:val="18"/>
                <w:lang w:eastAsia="zh-CN"/>
              </w:rPr>
              <w:t>法治建设岗</w:t>
            </w:r>
          </w:p>
        </w:tc>
        <w:tc>
          <w:tcPr>
            <w:tcW w:w="962" w:type="dxa"/>
            <w:vAlign w:val="center"/>
          </w:tcPr>
          <w:p>
            <w:pPr>
              <w:jc w:val="center"/>
            </w:pPr>
            <w:r>
              <w:rPr>
                <w:rFonts w:hint="eastAsia" w:ascii="宋体" w:hAnsi="宋体" w:eastAsia="宋体"/>
                <w:b w:val="0"/>
                <w:color w:val="000000"/>
                <w:kern w:val="0"/>
                <w:sz w:val="18"/>
                <w:szCs w:val="18"/>
                <w:lang w:eastAsia="zh-CN"/>
              </w:rPr>
              <w:t>西城街道办事处</w:t>
            </w:r>
          </w:p>
        </w:tc>
        <w:tc>
          <w:tcPr>
            <w:tcW w:w="2609" w:type="dxa"/>
            <w:tcBorders>
              <w:tl2br w:val="nil"/>
              <w:tr2bl w:val="nil"/>
            </w:tcBorders>
            <w:tcMar>
              <w:top w:w="15" w:type="dxa"/>
              <w:left w:w="15" w:type="dxa"/>
              <w:right w:w="15" w:type="dxa"/>
            </w:tcMar>
            <w:vAlign w:val="center"/>
          </w:tcPr>
          <w:p>
            <w:pPr>
              <w:overflowPunct w:val="0"/>
              <w:snapToGrid w:val="0"/>
              <w:jc w:val="left"/>
              <w:rPr>
                <w:rFonts w:eastAsia="方正仿宋_GBK" w:cs="方正仿宋_GBK" w:asciiTheme="minorHAnsi" w:hAnsiTheme="minorHAnsi"/>
                <w:kern w:val="0"/>
                <w:sz w:val="21"/>
                <w:szCs w:val="21"/>
                <w:lang w:val="en-US" w:eastAsia="zh-CN" w:bidi="ar"/>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w:t>
            </w:r>
          </w:p>
        </w:tc>
        <w:tc>
          <w:tcPr>
            <w:tcW w:w="60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其他</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171"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法律知识</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普及服务</w:t>
            </w:r>
          </w:p>
        </w:tc>
        <w:tc>
          <w:tcPr>
            <w:tcW w:w="2129"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法律法规资讯、普法动态资讯、普法讲师团信息等</w:t>
            </w:r>
          </w:p>
        </w:tc>
        <w:tc>
          <w:tcPr>
            <w:tcW w:w="299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《中共重庆市委、重庆市人民政府转发〈中共重庆市委宣传部、重庆市司法局关于开展法治宣传教育的第八个五年规划（20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《中共重庆市南川区委</w:t>
            </w:r>
            <w:r>
              <w:rPr>
                <w:rFonts w:hint="eastAsia" w:ascii="Times New Roman" w:hAnsi="Times New Roman" w:eastAsia="宋体" w:cs="宋体"/>
                <w:color w:val="000000"/>
                <w:kern w:val="0"/>
                <w:sz w:val="18"/>
                <w:szCs w:val="18"/>
                <w:lang w:val="en-US" w:eastAsia="zh-CN"/>
              </w:rPr>
              <w:t xml:space="preserve"> 重庆市南川区人民政府转发</w:t>
            </w:r>
            <w:r>
              <w:rPr>
                <w:rFonts w:hint="eastAsia" w:ascii="Times New Roman" w:hAnsi="Times New Roman" w:eastAsia="宋体" w:cs="宋体"/>
                <w:color w:val="000000"/>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000000"/>
                <w:kern w:val="0"/>
                <w:sz w:val="18"/>
                <w:szCs w:val="18"/>
                <w:lang w:val="en-US" w:eastAsia="zh-CN"/>
              </w:rPr>
              <w:t>的通知</w:t>
            </w:r>
            <w:r>
              <w:rPr>
                <w:rFonts w:hint="eastAsia" w:ascii="Times New Roman" w:hAnsi="Times New Roman" w:eastAsia="宋体" w:cs="宋体"/>
                <w:color w:val="000000"/>
                <w:kern w:val="0"/>
                <w:sz w:val="18"/>
                <w:szCs w:val="18"/>
                <w:lang w:val="zh-CN" w:eastAsia="zh-CN"/>
              </w:rPr>
              <w:t>》</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sz w:val="18"/>
                <w:szCs w:val="18"/>
                <w:lang w:eastAsia="zh-CN"/>
              </w:rPr>
              <w:t>周廷勇</w:t>
            </w:r>
          </w:p>
        </w:tc>
        <w:tc>
          <w:tcPr>
            <w:tcW w:w="75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auto"/>
                <w:sz w:val="18"/>
                <w:szCs w:val="18"/>
                <w:lang w:eastAsia="zh-CN"/>
              </w:rPr>
              <w:t>法治建设岗</w:t>
            </w:r>
          </w:p>
        </w:tc>
        <w:tc>
          <w:tcPr>
            <w:tcW w:w="962" w:type="dxa"/>
            <w:vAlign w:val="center"/>
          </w:tcPr>
          <w:p>
            <w:pPr>
              <w:jc w:val="center"/>
            </w:pPr>
            <w:r>
              <w:rPr>
                <w:rFonts w:hint="eastAsia" w:ascii="宋体" w:hAnsi="宋体" w:eastAsia="宋体"/>
                <w:b w:val="0"/>
                <w:color w:val="000000"/>
                <w:kern w:val="0"/>
                <w:sz w:val="18"/>
                <w:szCs w:val="18"/>
                <w:lang w:eastAsia="zh-CN"/>
              </w:rPr>
              <w:t>西城街道办事处</w:t>
            </w:r>
          </w:p>
        </w:tc>
        <w:tc>
          <w:tcPr>
            <w:tcW w:w="2609" w:type="dxa"/>
            <w:tcBorders>
              <w:tl2br w:val="nil"/>
              <w:tr2bl w:val="nil"/>
            </w:tcBorders>
            <w:tcMar>
              <w:top w:w="15" w:type="dxa"/>
              <w:left w:w="15" w:type="dxa"/>
              <w:right w:w="15" w:type="dxa"/>
            </w:tcMar>
            <w:vAlign w:val="center"/>
          </w:tcPr>
          <w:p>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r>
              <w:rPr>
                <w:rFonts w:hint="eastAsia" w:ascii="Times New Roman" w:hAnsi="Times New Roman" w:eastAsia="宋体" w:cs="宋体"/>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w:t>
            </w:r>
          </w:p>
        </w:tc>
        <w:tc>
          <w:tcPr>
            <w:tcW w:w="60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其他</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171"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推广法治</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文化服务</w:t>
            </w:r>
          </w:p>
        </w:tc>
        <w:tc>
          <w:tcPr>
            <w:tcW w:w="2129"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辖区内法治文化阵地信息，法治文化作品、产品</w:t>
            </w:r>
          </w:p>
        </w:tc>
        <w:tc>
          <w:tcPr>
            <w:tcW w:w="299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《中共重庆市委、重庆市人民政府转发〈中共重庆市委宣传部、重庆市司法局关于开展法治宣传教育 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《中共重庆市南川区委</w:t>
            </w:r>
            <w:r>
              <w:rPr>
                <w:rFonts w:hint="eastAsia" w:ascii="Times New Roman" w:hAnsi="Times New Roman" w:eastAsia="宋体" w:cs="宋体"/>
                <w:color w:val="000000"/>
                <w:kern w:val="0"/>
                <w:sz w:val="18"/>
                <w:szCs w:val="18"/>
                <w:lang w:val="en-US" w:eastAsia="zh-CN"/>
              </w:rPr>
              <w:t xml:space="preserve"> 重庆市南川区人民政府转发</w:t>
            </w:r>
            <w:r>
              <w:rPr>
                <w:rFonts w:hint="eastAsia" w:ascii="Times New Roman" w:hAnsi="Times New Roman" w:eastAsia="宋体" w:cs="宋体"/>
                <w:color w:val="000000"/>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000000"/>
                <w:kern w:val="0"/>
                <w:sz w:val="18"/>
                <w:szCs w:val="18"/>
                <w:lang w:val="en-US" w:eastAsia="zh-CN"/>
              </w:rPr>
              <w:t>的通知</w:t>
            </w:r>
            <w:r>
              <w:rPr>
                <w:rFonts w:hint="eastAsia" w:ascii="Times New Roman" w:hAnsi="Times New Roman" w:eastAsia="宋体" w:cs="宋体"/>
                <w:color w:val="000000"/>
                <w:kern w:val="0"/>
                <w:sz w:val="18"/>
                <w:szCs w:val="18"/>
                <w:lang w:val="zh-CN" w:eastAsia="zh-CN"/>
              </w:rPr>
              <w:t>》</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sz w:val="18"/>
                <w:szCs w:val="18"/>
                <w:lang w:eastAsia="zh-CN"/>
              </w:rPr>
              <w:t>周廷勇</w:t>
            </w:r>
          </w:p>
        </w:tc>
        <w:tc>
          <w:tcPr>
            <w:tcW w:w="75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auto"/>
                <w:sz w:val="18"/>
                <w:szCs w:val="18"/>
                <w:lang w:eastAsia="zh-CN"/>
              </w:rPr>
              <w:t>法治建设岗</w:t>
            </w:r>
          </w:p>
        </w:tc>
        <w:tc>
          <w:tcPr>
            <w:tcW w:w="962" w:type="dxa"/>
            <w:vAlign w:val="center"/>
          </w:tcPr>
          <w:p>
            <w:pPr>
              <w:jc w:val="center"/>
              <w:rPr>
                <w:rFonts w:hint="eastAsia" w:eastAsiaTheme="minorEastAsia"/>
                <w:lang w:eastAsia="zh-CN"/>
              </w:rPr>
            </w:pPr>
            <w:r>
              <w:rPr>
                <w:rFonts w:hint="eastAsia" w:ascii="宋体" w:hAnsi="宋体" w:eastAsia="宋体"/>
                <w:b w:val="0"/>
                <w:color w:val="000000"/>
                <w:kern w:val="0"/>
                <w:sz w:val="18"/>
                <w:szCs w:val="18"/>
                <w:lang w:eastAsia="zh-CN"/>
              </w:rPr>
              <w:t>西城街道办事处</w:t>
            </w:r>
          </w:p>
        </w:tc>
        <w:tc>
          <w:tcPr>
            <w:tcW w:w="2609" w:type="dxa"/>
            <w:tcBorders>
              <w:tl2br w:val="nil"/>
              <w:tr2bl w:val="nil"/>
            </w:tcBorders>
            <w:tcMar>
              <w:top w:w="15" w:type="dxa"/>
              <w:left w:w="15" w:type="dxa"/>
              <w:right w:w="15" w:type="dxa"/>
            </w:tcMar>
            <w:vAlign w:val="center"/>
          </w:tcPr>
          <w:p>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r>
              <w:rPr>
                <w:rFonts w:hint="eastAsia" w:ascii="Times New Roman" w:hAnsi="Times New Roman" w:eastAsia="宋体" w:cs="宋体"/>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ZmFjODgxZjViZTI4NjgzMjkxZGEyZmM2ZTFhNGEifQ=="/>
    <w:docVar w:name="KSO_WPS_MARK_KEY" w:val="f7de1d11-88a0-41a7-94df-851aeedcb6fa"/>
  </w:docVars>
  <w:rsids>
    <w:rsidRoot w:val="0052371F"/>
    <w:rsid w:val="0052371F"/>
    <w:rsid w:val="0E1421A8"/>
    <w:rsid w:val="188E238E"/>
    <w:rsid w:val="22164BAE"/>
    <w:rsid w:val="2BC977A3"/>
    <w:rsid w:val="2CFE2ABE"/>
    <w:rsid w:val="30110DE2"/>
    <w:rsid w:val="437217FE"/>
    <w:rsid w:val="4910043A"/>
    <w:rsid w:val="4CB91D57"/>
    <w:rsid w:val="5FFB345A"/>
    <w:rsid w:val="68D716AC"/>
    <w:rsid w:val="FAD716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unhideWhenUsed/>
    <w:qFormat/>
    <w:uiPriority w:val="99"/>
    <w:pPr>
      <w:widowControl w:val="0"/>
      <w:spacing w:line="560" w:lineRule="exact"/>
      <w:jc w:val="left"/>
    </w:pPr>
    <w:rPr>
      <w:rFonts w:ascii="黑体" w:hAnsi="黑体" w:eastAsia="黑体" w:cs="Times New Roman"/>
      <w:color w:val="auto"/>
      <w:u w:val="none" w:color="auto"/>
    </w:rPr>
  </w:style>
  <w:style w:type="paragraph" w:styleId="3">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semiHidden/>
    <w:qFormat/>
    <w:uiPriority w:val="99"/>
    <w:rPr>
      <w:sz w:val="18"/>
      <w:szCs w:val="18"/>
    </w:rPr>
  </w:style>
  <w:style w:type="character" w:customStyle="1" w:styleId="8">
    <w:name w:val="页脚 Char"/>
    <w:basedOn w:val="6"/>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1267</Words>
  <Characters>1307</Characters>
  <Lines>24</Lines>
  <Paragraphs>7</Paragraphs>
  <TotalTime>5</TotalTime>
  <ScaleCrop>false</ScaleCrop>
  <LinksUpToDate>false</LinksUpToDate>
  <CharactersWithSpaces>4027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2023-10-13T22:18:00Z</dcterms:created>
  <dc:creator>Administrator</dc:creator>
  <cp:lastModifiedBy>H W</cp:lastModifiedBy>
  <cp:lastPrinted>2025-01-09T08:35:00Z</cp:lastPrinted>
  <dcterms:modified xsi:type="dcterms:W3CDTF">2026-01-22T03:29:19Z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A646F0A2E6344F2EB93868B5111AAEB5_13</vt:lpwstr>
  </property>
  <property fmtid="{D5CDD505-2E9C-101B-9397-08002B2CF9AE}" pid="4" name="KSOTemplateDocerSaveRecord">
    <vt:lpwstr>eyJoZGlkIjoiMDgxYWNiZWU3NzdhNGU5NmE2ZTFhNDc0NmExYWU3MWIiLCJ1c2VySWQiOiI1OTE1MTgxODUifQ==</vt:lpwstr>
  </property>
</Properties>
</file>