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兴隆镇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检查结果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</w:rPr>
              <w:t>做出之日起</w:t>
            </w: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张华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兴隆镇人民政府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36336BB"/>
    <w:rsid w:val="0E1421A8"/>
    <w:rsid w:val="305100E4"/>
    <w:rsid w:val="374E2E5E"/>
    <w:rsid w:val="46A96194"/>
    <w:rsid w:val="63E82DB0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4</TotalTime>
  <ScaleCrop>false</ScaleCrop>
  <LinksUpToDate>false</LinksUpToDate>
  <CharactersWithSpaces>3428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兴隆镇系统管理员[xlz]</cp:lastModifiedBy>
  <dcterms:modified xsi:type="dcterms:W3CDTF">2025-02-14T04:07:50Z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