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B009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兴隆镇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14:paraId="001D3F8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w:t>
      </w:r>
      <w:bookmarkStart w:id="1" w:name="_GoBack"/>
      <w:bookmarkEnd w:id="1"/>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14:paraId="0D70C2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14:paraId="2E27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49B1D6C7">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序号</w:t>
            </w:r>
          </w:p>
        </w:tc>
        <w:tc>
          <w:tcPr>
            <w:tcW w:w="1773" w:type="dxa"/>
            <w:gridSpan w:val="2"/>
            <w:tcBorders>
              <w:tl2br w:val="nil"/>
              <w:tr2bl w:val="nil"/>
            </w:tcBorders>
            <w:tcMar>
              <w:top w:w="15" w:type="dxa"/>
              <w:left w:w="15" w:type="dxa"/>
              <w:right w:w="15" w:type="dxa"/>
            </w:tcMar>
            <w:vAlign w:val="center"/>
          </w:tcPr>
          <w:p w14:paraId="6EE148BF">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公开事项</w:t>
            </w:r>
          </w:p>
        </w:tc>
        <w:tc>
          <w:tcPr>
            <w:tcW w:w="2129" w:type="dxa"/>
            <w:vMerge w:val="restart"/>
            <w:tcBorders>
              <w:tl2br w:val="nil"/>
              <w:tr2bl w:val="nil"/>
            </w:tcBorders>
            <w:tcMar>
              <w:top w:w="15" w:type="dxa"/>
              <w:left w:w="15" w:type="dxa"/>
              <w:right w:w="15" w:type="dxa"/>
            </w:tcMar>
            <w:vAlign w:val="center"/>
          </w:tcPr>
          <w:p w14:paraId="19DD2977">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公开内容</w:t>
            </w:r>
          </w:p>
          <w:p w14:paraId="7A48BB51">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（要素）</w:t>
            </w:r>
          </w:p>
        </w:tc>
        <w:tc>
          <w:tcPr>
            <w:tcW w:w="3708" w:type="dxa"/>
            <w:vMerge w:val="restart"/>
            <w:tcBorders>
              <w:tl2br w:val="nil"/>
              <w:tr2bl w:val="nil"/>
            </w:tcBorders>
            <w:tcMar>
              <w:top w:w="15" w:type="dxa"/>
              <w:left w:w="15" w:type="dxa"/>
              <w:right w:w="15" w:type="dxa"/>
            </w:tcMar>
            <w:vAlign w:val="center"/>
          </w:tcPr>
          <w:p w14:paraId="06CE6ABC">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公开依据</w:t>
            </w:r>
          </w:p>
        </w:tc>
        <w:tc>
          <w:tcPr>
            <w:tcW w:w="1260" w:type="dxa"/>
            <w:vMerge w:val="restart"/>
            <w:tcBorders>
              <w:tl2br w:val="nil"/>
              <w:tr2bl w:val="nil"/>
            </w:tcBorders>
            <w:tcMar>
              <w:top w:w="15" w:type="dxa"/>
              <w:left w:w="15" w:type="dxa"/>
              <w:right w:w="15" w:type="dxa"/>
            </w:tcMar>
            <w:vAlign w:val="center"/>
          </w:tcPr>
          <w:p w14:paraId="6FD71758">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公开时限</w:t>
            </w:r>
          </w:p>
        </w:tc>
        <w:tc>
          <w:tcPr>
            <w:tcW w:w="690" w:type="dxa"/>
            <w:vMerge w:val="restart"/>
            <w:tcBorders>
              <w:tl2br w:val="nil"/>
              <w:tr2bl w:val="nil"/>
            </w:tcBorders>
            <w:tcMar>
              <w:top w:w="15" w:type="dxa"/>
              <w:left w:w="15" w:type="dxa"/>
              <w:right w:w="15" w:type="dxa"/>
            </w:tcMar>
            <w:vAlign w:val="center"/>
          </w:tcPr>
          <w:p w14:paraId="3117478C">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责任</w:t>
            </w:r>
          </w:p>
          <w:p w14:paraId="6A8101A2">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领导</w:t>
            </w:r>
          </w:p>
        </w:tc>
        <w:tc>
          <w:tcPr>
            <w:tcW w:w="690" w:type="dxa"/>
            <w:vMerge w:val="restart"/>
            <w:tcBorders>
              <w:tl2br w:val="nil"/>
              <w:tr2bl w:val="nil"/>
            </w:tcBorders>
            <w:tcMar>
              <w:top w:w="15" w:type="dxa"/>
              <w:left w:w="15" w:type="dxa"/>
              <w:right w:w="15" w:type="dxa"/>
            </w:tcMar>
            <w:vAlign w:val="center"/>
          </w:tcPr>
          <w:p w14:paraId="65949E03">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责任</w:t>
            </w:r>
          </w:p>
          <w:p w14:paraId="78200B0B">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0E0C3D">
            <w:pPr>
              <w:overflowPunct w:val="0"/>
              <w:snapToGrid w:val="0"/>
              <w:jc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b w:val="0"/>
                <w:bCs/>
                <w:color w:val="auto"/>
                <w:kern w:val="0"/>
                <w:sz w:val="21"/>
                <w:szCs w:val="21"/>
              </w:rPr>
              <w:t>公开</w:t>
            </w:r>
            <w:r>
              <w:rPr>
                <w:rFonts w:hint="eastAsia" w:ascii="方正黑体_GBK" w:hAnsi="方正黑体_GBK" w:eastAsia="方正黑体_GBK" w:cs="方正黑体_GBK"/>
                <w:b w:val="0"/>
                <w:bCs/>
                <w:color w:val="auto"/>
                <w:kern w:val="0"/>
                <w:sz w:val="21"/>
                <w:szCs w:val="21"/>
              </w:rPr>
              <w:br w:type="textWrapping"/>
            </w:r>
            <w:r>
              <w:rPr>
                <w:rFonts w:hint="eastAsia" w:ascii="方正黑体_GBK" w:hAnsi="方正黑体_GBK" w:eastAsia="方正黑体_GBK" w:cs="方正黑体_GBK"/>
                <w:b w:val="0"/>
                <w:bCs/>
                <w:color w:val="auto"/>
                <w:kern w:val="0"/>
                <w:sz w:val="21"/>
                <w:szCs w:val="21"/>
              </w:rPr>
              <w:t>主体</w:t>
            </w:r>
          </w:p>
        </w:tc>
        <w:tc>
          <w:tcPr>
            <w:tcW w:w="1394" w:type="dxa"/>
            <w:vMerge w:val="restart"/>
            <w:tcBorders>
              <w:tl2br w:val="nil"/>
              <w:tr2bl w:val="nil"/>
            </w:tcBorders>
            <w:tcMar>
              <w:top w:w="15" w:type="dxa"/>
              <w:left w:w="15" w:type="dxa"/>
              <w:right w:w="15" w:type="dxa"/>
            </w:tcMar>
            <w:vAlign w:val="center"/>
          </w:tcPr>
          <w:p w14:paraId="6772ACC0">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公开渠道和载体</w:t>
            </w:r>
          </w:p>
        </w:tc>
        <w:tc>
          <w:tcPr>
            <w:tcW w:w="1195" w:type="dxa"/>
            <w:gridSpan w:val="2"/>
            <w:tcBorders>
              <w:tl2br w:val="nil"/>
              <w:tr2bl w:val="nil"/>
            </w:tcBorders>
            <w:tcMar>
              <w:top w:w="15" w:type="dxa"/>
              <w:left w:w="15" w:type="dxa"/>
              <w:right w:w="15" w:type="dxa"/>
            </w:tcMar>
            <w:vAlign w:val="center"/>
          </w:tcPr>
          <w:p w14:paraId="765379DD">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公开对象</w:t>
            </w:r>
          </w:p>
        </w:tc>
        <w:tc>
          <w:tcPr>
            <w:tcW w:w="1063" w:type="dxa"/>
            <w:gridSpan w:val="2"/>
            <w:tcBorders>
              <w:tl2br w:val="nil"/>
              <w:tr2bl w:val="nil"/>
            </w:tcBorders>
            <w:tcMar>
              <w:top w:w="15" w:type="dxa"/>
              <w:left w:w="15" w:type="dxa"/>
              <w:right w:w="15" w:type="dxa"/>
            </w:tcMar>
            <w:vAlign w:val="center"/>
          </w:tcPr>
          <w:p w14:paraId="5DF0D89D">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公开方式</w:t>
            </w:r>
          </w:p>
        </w:tc>
        <w:tc>
          <w:tcPr>
            <w:tcW w:w="534" w:type="dxa"/>
            <w:tcBorders>
              <w:tl2br w:val="nil"/>
              <w:tr2bl w:val="nil"/>
            </w:tcBorders>
            <w:tcMar>
              <w:top w:w="15" w:type="dxa"/>
              <w:left w:w="15" w:type="dxa"/>
              <w:right w:w="15" w:type="dxa"/>
            </w:tcMar>
            <w:vAlign w:val="center"/>
          </w:tcPr>
          <w:p w14:paraId="23213527">
            <w:pPr>
              <w:widowControl/>
              <w:spacing w:line="310" w:lineRule="exact"/>
              <w:jc w:val="center"/>
              <w:textAlignment w:val="center"/>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公开层级</w:t>
            </w:r>
          </w:p>
        </w:tc>
      </w:tr>
      <w:tr w14:paraId="634F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6229085F">
            <w:pPr>
              <w:spacing w:line="310" w:lineRule="exact"/>
              <w:jc w:val="center"/>
              <w:rPr>
                <w:rFonts w:hint="eastAsia" w:ascii="方正黑体_GBK" w:hAnsi="方正黑体_GBK" w:eastAsia="方正黑体_GBK" w:cs="方正黑体_GBK"/>
                <w:color w:val="auto"/>
                <w:sz w:val="21"/>
                <w:szCs w:val="21"/>
              </w:rPr>
            </w:pPr>
          </w:p>
        </w:tc>
        <w:tc>
          <w:tcPr>
            <w:tcW w:w="602" w:type="dxa"/>
            <w:tcBorders>
              <w:tl2br w:val="nil"/>
              <w:tr2bl w:val="nil"/>
            </w:tcBorders>
            <w:tcMar>
              <w:top w:w="15" w:type="dxa"/>
              <w:left w:w="15" w:type="dxa"/>
              <w:right w:w="15" w:type="dxa"/>
            </w:tcMar>
            <w:vAlign w:val="center"/>
          </w:tcPr>
          <w:p w14:paraId="220450D9">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一级</w:t>
            </w:r>
          </w:p>
          <w:p w14:paraId="40B2BE68">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事项</w:t>
            </w:r>
          </w:p>
        </w:tc>
        <w:tc>
          <w:tcPr>
            <w:tcW w:w="1171" w:type="dxa"/>
            <w:tcBorders>
              <w:tl2br w:val="nil"/>
              <w:tr2bl w:val="nil"/>
            </w:tcBorders>
            <w:tcMar>
              <w:top w:w="15" w:type="dxa"/>
              <w:left w:w="15" w:type="dxa"/>
              <w:right w:w="15" w:type="dxa"/>
            </w:tcMar>
            <w:vAlign w:val="center"/>
          </w:tcPr>
          <w:p w14:paraId="60890B13">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二级</w:t>
            </w:r>
          </w:p>
          <w:p w14:paraId="1E9CD635">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事项</w:t>
            </w:r>
          </w:p>
        </w:tc>
        <w:tc>
          <w:tcPr>
            <w:tcW w:w="2129" w:type="dxa"/>
            <w:vMerge w:val="continue"/>
            <w:tcBorders>
              <w:tl2br w:val="nil"/>
              <w:tr2bl w:val="nil"/>
            </w:tcBorders>
            <w:tcMar>
              <w:top w:w="15" w:type="dxa"/>
              <w:left w:w="15" w:type="dxa"/>
              <w:right w:w="15" w:type="dxa"/>
            </w:tcMar>
            <w:vAlign w:val="center"/>
          </w:tcPr>
          <w:p w14:paraId="3B6C48E1">
            <w:pPr>
              <w:widowControl/>
              <w:spacing w:line="310" w:lineRule="exact"/>
              <w:jc w:val="center"/>
              <w:textAlignment w:val="top"/>
              <w:rPr>
                <w:rFonts w:hint="eastAsia" w:ascii="方正黑体_GBK" w:hAnsi="方正黑体_GBK" w:eastAsia="方正黑体_GBK" w:cs="方正黑体_GBK"/>
                <w:color w:val="auto"/>
                <w:sz w:val="21"/>
                <w:szCs w:val="21"/>
              </w:rPr>
            </w:pPr>
          </w:p>
        </w:tc>
        <w:tc>
          <w:tcPr>
            <w:tcW w:w="3708" w:type="dxa"/>
            <w:vMerge w:val="continue"/>
            <w:tcBorders>
              <w:tl2br w:val="nil"/>
              <w:tr2bl w:val="nil"/>
            </w:tcBorders>
            <w:tcMar>
              <w:top w:w="15" w:type="dxa"/>
              <w:left w:w="15" w:type="dxa"/>
              <w:right w:w="15" w:type="dxa"/>
            </w:tcMar>
            <w:vAlign w:val="center"/>
          </w:tcPr>
          <w:p w14:paraId="5F7DF3CD">
            <w:pPr>
              <w:widowControl/>
              <w:spacing w:line="310" w:lineRule="exact"/>
              <w:jc w:val="center"/>
              <w:textAlignment w:val="top"/>
              <w:rPr>
                <w:rFonts w:hint="eastAsia" w:ascii="方正黑体_GBK" w:hAnsi="方正黑体_GBK" w:eastAsia="方正黑体_GBK" w:cs="方正黑体_GBK"/>
                <w:color w:val="auto"/>
                <w:sz w:val="21"/>
                <w:szCs w:val="21"/>
              </w:rPr>
            </w:pPr>
          </w:p>
        </w:tc>
        <w:tc>
          <w:tcPr>
            <w:tcW w:w="1260" w:type="dxa"/>
            <w:vMerge w:val="continue"/>
            <w:tcBorders>
              <w:tl2br w:val="nil"/>
              <w:tr2bl w:val="nil"/>
            </w:tcBorders>
            <w:tcMar>
              <w:top w:w="15" w:type="dxa"/>
              <w:left w:w="15" w:type="dxa"/>
              <w:right w:w="15" w:type="dxa"/>
            </w:tcMar>
            <w:vAlign w:val="center"/>
          </w:tcPr>
          <w:p w14:paraId="21DFABC9">
            <w:pPr>
              <w:widowControl/>
              <w:spacing w:line="310" w:lineRule="exact"/>
              <w:jc w:val="center"/>
              <w:textAlignment w:val="top"/>
              <w:rPr>
                <w:rFonts w:hint="eastAsia" w:ascii="方正黑体_GBK" w:hAnsi="方正黑体_GBK" w:eastAsia="方正黑体_GBK" w:cs="方正黑体_GBK"/>
                <w:color w:val="auto"/>
                <w:sz w:val="21"/>
                <w:szCs w:val="21"/>
              </w:rPr>
            </w:pPr>
          </w:p>
        </w:tc>
        <w:tc>
          <w:tcPr>
            <w:tcW w:w="690" w:type="dxa"/>
            <w:vMerge w:val="continue"/>
            <w:tcBorders>
              <w:tl2br w:val="nil"/>
              <w:tr2bl w:val="nil"/>
            </w:tcBorders>
            <w:tcMar>
              <w:top w:w="15" w:type="dxa"/>
              <w:left w:w="15" w:type="dxa"/>
              <w:right w:w="15" w:type="dxa"/>
            </w:tcMar>
            <w:vAlign w:val="center"/>
          </w:tcPr>
          <w:p w14:paraId="75A4EF4E">
            <w:pPr>
              <w:spacing w:line="310" w:lineRule="exact"/>
              <w:jc w:val="center"/>
              <w:rPr>
                <w:rFonts w:hint="eastAsia" w:ascii="方正黑体_GBK" w:hAnsi="方正黑体_GBK" w:eastAsia="方正黑体_GBK" w:cs="方正黑体_GBK"/>
                <w:color w:val="auto"/>
                <w:sz w:val="21"/>
                <w:szCs w:val="21"/>
              </w:rPr>
            </w:pPr>
          </w:p>
        </w:tc>
        <w:tc>
          <w:tcPr>
            <w:tcW w:w="690" w:type="dxa"/>
            <w:vMerge w:val="continue"/>
            <w:tcBorders>
              <w:tl2br w:val="nil"/>
              <w:tr2bl w:val="nil"/>
            </w:tcBorders>
            <w:tcMar>
              <w:top w:w="15" w:type="dxa"/>
              <w:left w:w="15" w:type="dxa"/>
              <w:right w:w="15" w:type="dxa"/>
            </w:tcMar>
            <w:vAlign w:val="center"/>
          </w:tcPr>
          <w:p w14:paraId="740FCA7D">
            <w:pPr>
              <w:spacing w:line="310" w:lineRule="exact"/>
              <w:jc w:val="center"/>
              <w:rPr>
                <w:rFonts w:hint="eastAsia" w:ascii="方正黑体_GBK" w:hAnsi="方正黑体_GBK" w:eastAsia="方正黑体_GBK" w:cs="方正黑体_GBK"/>
                <w:color w:val="auto"/>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8280B">
            <w:pPr>
              <w:widowControl/>
              <w:jc w:val="left"/>
              <w:rPr>
                <w:rFonts w:hint="eastAsia" w:ascii="方正黑体_GBK" w:hAnsi="方正黑体_GBK" w:eastAsia="方正黑体_GBK" w:cs="方正黑体_GBK"/>
                <w:color w:val="auto"/>
                <w:sz w:val="21"/>
                <w:szCs w:val="21"/>
              </w:rPr>
            </w:pPr>
          </w:p>
        </w:tc>
        <w:tc>
          <w:tcPr>
            <w:tcW w:w="1394" w:type="dxa"/>
            <w:vMerge w:val="continue"/>
            <w:tcBorders>
              <w:tl2br w:val="nil"/>
              <w:tr2bl w:val="nil"/>
            </w:tcBorders>
            <w:tcMar>
              <w:top w:w="15" w:type="dxa"/>
              <w:left w:w="15" w:type="dxa"/>
              <w:right w:w="15" w:type="dxa"/>
            </w:tcMar>
            <w:vAlign w:val="center"/>
          </w:tcPr>
          <w:p w14:paraId="5ACDE529">
            <w:pPr>
              <w:spacing w:line="310" w:lineRule="exact"/>
              <w:jc w:val="center"/>
              <w:rPr>
                <w:rFonts w:hint="eastAsia" w:ascii="方正黑体_GBK" w:hAnsi="方正黑体_GBK" w:eastAsia="方正黑体_GBK" w:cs="方正黑体_GBK"/>
                <w:color w:val="auto"/>
                <w:sz w:val="21"/>
                <w:szCs w:val="21"/>
              </w:rPr>
            </w:pPr>
          </w:p>
        </w:tc>
        <w:tc>
          <w:tcPr>
            <w:tcW w:w="622" w:type="dxa"/>
            <w:tcBorders>
              <w:tl2br w:val="nil"/>
              <w:tr2bl w:val="nil"/>
            </w:tcBorders>
            <w:tcMar>
              <w:top w:w="15" w:type="dxa"/>
              <w:left w:w="15" w:type="dxa"/>
              <w:right w:w="15" w:type="dxa"/>
            </w:tcMar>
            <w:vAlign w:val="center"/>
          </w:tcPr>
          <w:p w14:paraId="01ED01C4">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全社会</w:t>
            </w:r>
          </w:p>
        </w:tc>
        <w:tc>
          <w:tcPr>
            <w:tcW w:w="573" w:type="dxa"/>
            <w:tcBorders>
              <w:tl2br w:val="nil"/>
              <w:tr2bl w:val="nil"/>
            </w:tcBorders>
            <w:tcMar>
              <w:top w:w="15" w:type="dxa"/>
              <w:left w:w="15" w:type="dxa"/>
              <w:right w:w="15" w:type="dxa"/>
            </w:tcMar>
            <w:vAlign w:val="center"/>
          </w:tcPr>
          <w:p w14:paraId="5C63A557">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特定</w:t>
            </w:r>
          </w:p>
          <w:p w14:paraId="1C723779">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群体</w:t>
            </w:r>
          </w:p>
        </w:tc>
        <w:tc>
          <w:tcPr>
            <w:tcW w:w="506" w:type="dxa"/>
            <w:tcBorders>
              <w:tl2br w:val="nil"/>
              <w:tr2bl w:val="nil"/>
            </w:tcBorders>
            <w:tcMar>
              <w:top w:w="15" w:type="dxa"/>
              <w:left w:w="15" w:type="dxa"/>
              <w:right w:w="15" w:type="dxa"/>
            </w:tcMar>
            <w:vAlign w:val="center"/>
          </w:tcPr>
          <w:p w14:paraId="6B002ADA">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主动</w:t>
            </w:r>
          </w:p>
        </w:tc>
        <w:tc>
          <w:tcPr>
            <w:tcW w:w="557" w:type="dxa"/>
            <w:tcBorders>
              <w:tl2br w:val="nil"/>
              <w:tr2bl w:val="nil"/>
            </w:tcBorders>
            <w:tcMar>
              <w:top w:w="15" w:type="dxa"/>
              <w:left w:w="15" w:type="dxa"/>
              <w:right w:w="15" w:type="dxa"/>
            </w:tcMar>
            <w:vAlign w:val="center"/>
          </w:tcPr>
          <w:p w14:paraId="34F968C0">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依申</w:t>
            </w:r>
          </w:p>
          <w:p w14:paraId="234C74A6">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rPr>
              <w:t>请</w:t>
            </w:r>
          </w:p>
        </w:tc>
        <w:tc>
          <w:tcPr>
            <w:tcW w:w="534" w:type="dxa"/>
            <w:tcBorders>
              <w:tl2br w:val="nil"/>
              <w:tr2bl w:val="nil"/>
            </w:tcBorders>
            <w:tcMar>
              <w:top w:w="15" w:type="dxa"/>
              <w:left w:w="15" w:type="dxa"/>
              <w:right w:w="15" w:type="dxa"/>
            </w:tcMar>
            <w:vAlign w:val="center"/>
          </w:tcPr>
          <w:p w14:paraId="0A50D32A">
            <w:pPr>
              <w:widowControl/>
              <w:spacing w:line="310" w:lineRule="exact"/>
              <w:jc w:val="center"/>
              <w:textAlignment w:val="top"/>
              <w:rPr>
                <w:rFonts w:hint="eastAsia" w:ascii="方正黑体_GBK" w:hAnsi="方正黑体_GBK" w:eastAsia="方正黑体_GBK" w:cs="方正黑体_GBK"/>
                <w:color w:val="auto"/>
                <w:sz w:val="21"/>
                <w:szCs w:val="21"/>
              </w:rPr>
            </w:pPr>
            <w:r>
              <w:rPr>
                <w:rFonts w:hint="eastAsia" w:ascii="方正黑体_GBK" w:hAnsi="方正黑体_GBK" w:eastAsia="方正黑体_GBK" w:cs="方正黑体_GBK"/>
                <w:color w:val="auto"/>
                <w:sz w:val="21"/>
                <w:szCs w:val="21"/>
                <w:lang w:eastAsia="zh-CN"/>
              </w:rPr>
              <w:t>乡镇</w:t>
            </w:r>
            <w:r>
              <w:rPr>
                <w:rFonts w:hint="eastAsia" w:ascii="方正黑体_GBK" w:hAnsi="方正黑体_GBK" w:eastAsia="方正黑体_GBK" w:cs="方正黑体_GBK"/>
                <w:color w:val="auto"/>
                <w:sz w:val="21"/>
                <w:szCs w:val="21"/>
              </w:rPr>
              <w:t>级</w:t>
            </w:r>
          </w:p>
        </w:tc>
      </w:tr>
      <w:tr w14:paraId="388B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14:paraId="526B3413">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1</w:t>
            </w:r>
          </w:p>
        </w:tc>
        <w:tc>
          <w:tcPr>
            <w:tcW w:w="602" w:type="dxa"/>
            <w:tcBorders>
              <w:tl2br w:val="nil"/>
              <w:tr2bl w:val="nil"/>
            </w:tcBorders>
            <w:tcMar>
              <w:top w:w="15" w:type="dxa"/>
              <w:left w:w="15" w:type="dxa"/>
              <w:right w:w="15" w:type="dxa"/>
            </w:tcMar>
            <w:vAlign w:val="center"/>
          </w:tcPr>
          <w:p w14:paraId="017618EA">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lang w:eastAsia="zh-CN"/>
              </w:rPr>
              <w:t>耕地建设与利用</w:t>
            </w:r>
            <w:r>
              <w:rPr>
                <w:rFonts w:hint="default" w:ascii="Times New Roman" w:hAnsi="Times New Roman" w:eastAsia="方正仿宋_GBK" w:cs="Times New Roman"/>
                <w:color w:val="auto"/>
                <w:kern w:val="0"/>
                <w:szCs w:val="21"/>
              </w:rPr>
              <w:t>资金</w:t>
            </w:r>
          </w:p>
        </w:tc>
        <w:tc>
          <w:tcPr>
            <w:tcW w:w="1171" w:type="dxa"/>
            <w:tcBorders>
              <w:tl2br w:val="nil"/>
              <w:tr2bl w:val="nil"/>
            </w:tcBorders>
            <w:tcMar>
              <w:top w:w="15" w:type="dxa"/>
              <w:left w:w="15" w:type="dxa"/>
              <w:right w:w="15" w:type="dxa"/>
            </w:tcMar>
            <w:vAlign w:val="center"/>
          </w:tcPr>
          <w:p w14:paraId="151AC861">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耕地地力保护和种粮大户补贴</w:t>
            </w:r>
          </w:p>
        </w:tc>
        <w:tc>
          <w:tcPr>
            <w:tcW w:w="2129" w:type="dxa"/>
            <w:tcBorders>
              <w:tl2br w:val="nil"/>
              <w:tr2bl w:val="nil"/>
            </w:tcBorders>
            <w:tcMar>
              <w:top w:w="15" w:type="dxa"/>
              <w:left w:w="15" w:type="dxa"/>
              <w:right w:w="15" w:type="dxa"/>
            </w:tcMar>
            <w:vAlign w:val="center"/>
          </w:tcPr>
          <w:p w14:paraId="2CCA0DE6">
            <w:pPr>
              <w:widowControl/>
              <w:spacing w:line="300" w:lineRule="exact"/>
              <w:jc w:val="left"/>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auto"/>
                <w:kern w:val="0"/>
                <w:szCs w:val="21"/>
              </w:rPr>
              <w:br w:type="textWrapping"/>
            </w:r>
            <w:r>
              <w:rPr>
                <w:rFonts w:hint="default" w:ascii="Times New Roman" w:hAnsi="Times New Roman" w:eastAsia="方正仿宋_GBK" w:cs="Times New Roman"/>
                <w:color w:val="auto"/>
                <w:kern w:val="0"/>
                <w:szCs w:val="21"/>
              </w:rPr>
              <w:t>3.补贴结果。</w:t>
            </w:r>
            <w:r>
              <w:rPr>
                <w:rFonts w:hint="default" w:ascii="Times New Roman" w:hAnsi="Times New Roman" w:eastAsia="方正仿宋_GBK" w:cs="Times New Roman"/>
                <w:color w:val="auto"/>
                <w:kern w:val="0"/>
                <w:szCs w:val="21"/>
              </w:rPr>
              <w:br w:type="textWrapping"/>
            </w:r>
            <w:r>
              <w:rPr>
                <w:rFonts w:hint="default" w:ascii="Times New Roman" w:hAnsi="Times New Roman" w:eastAsia="方正仿宋_GBK" w:cs="Times New Roman"/>
                <w:color w:val="auto"/>
                <w:kern w:val="0"/>
                <w:szCs w:val="21"/>
              </w:rPr>
              <w:t>4.监督渠道：举报电话、地址等。</w:t>
            </w:r>
          </w:p>
        </w:tc>
        <w:tc>
          <w:tcPr>
            <w:tcW w:w="3708" w:type="dxa"/>
            <w:tcBorders>
              <w:tl2br w:val="nil"/>
              <w:tr2bl w:val="nil"/>
            </w:tcBorders>
            <w:tcMar>
              <w:top w:w="15" w:type="dxa"/>
              <w:left w:w="15" w:type="dxa"/>
              <w:right w:w="15" w:type="dxa"/>
            </w:tcMar>
            <w:vAlign w:val="center"/>
          </w:tcPr>
          <w:p w14:paraId="03DBA88D">
            <w:pPr>
              <w:widowControl/>
              <w:spacing w:line="300" w:lineRule="exact"/>
              <w:jc w:val="both"/>
              <w:rPr>
                <w:rFonts w:hint="default" w:ascii="Times New Roman" w:hAnsi="Times New Roman" w:eastAsia="宋体" w:cs="Times New Roman"/>
                <w:color w:val="auto"/>
                <w:kern w:val="0"/>
                <w:sz w:val="18"/>
                <w:szCs w:val="18"/>
                <w:lang w:val="zh-CN"/>
              </w:rPr>
            </w:pPr>
            <w:r>
              <w:rPr>
                <w:rFonts w:hint="default" w:ascii="Times New Roman" w:hAnsi="Times New Roman" w:eastAsia="方正仿宋_GBK" w:cs="Times New Roman"/>
                <w:color w:val="auto"/>
                <w:kern w:val="0"/>
                <w:szCs w:val="21"/>
              </w:rPr>
              <w:t>《财政部 农业农村部关于印发</w:t>
            </w:r>
            <w:r>
              <w:rPr>
                <w:rFonts w:hint="default" w:ascii="Times New Roman" w:hAnsi="Times New Roman" w:eastAsia="方正仿宋_GBK" w:cs="Times New Roman"/>
                <w:color w:val="auto"/>
                <w:kern w:val="0"/>
                <w:szCs w:val="21"/>
                <w:lang w:eastAsia="zh-CN"/>
              </w:rPr>
              <w:t>耕地建设与利用</w:t>
            </w:r>
            <w:r>
              <w:rPr>
                <w:rFonts w:hint="default" w:ascii="Times New Roman" w:hAnsi="Times New Roman" w:eastAsia="方正仿宋_GBK" w:cs="Times New Roman"/>
                <w:color w:val="auto"/>
                <w:kern w:val="0"/>
                <w:szCs w:val="21"/>
              </w:rPr>
              <w:t>资金管理办法的通知》（财农〔202</w:t>
            </w:r>
            <w:r>
              <w:rPr>
                <w:rFonts w:hint="default" w:ascii="Times New Roman" w:hAnsi="Times New Roman" w:eastAsia="方正仿宋_GBK" w:cs="Times New Roman"/>
                <w:color w:val="auto"/>
                <w:kern w:val="0"/>
                <w:szCs w:val="21"/>
                <w:lang w:val="en-US" w:eastAsia="zh-CN"/>
              </w:rPr>
              <w:t>3</w:t>
            </w:r>
            <w:r>
              <w:rPr>
                <w:rFonts w:hint="default" w:ascii="Times New Roman" w:hAnsi="Times New Roman" w:eastAsia="方正仿宋_GBK" w:cs="Times New Roman"/>
                <w:color w:val="auto"/>
                <w:kern w:val="0"/>
                <w:szCs w:val="21"/>
              </w:rPr>
              <w:t>〕1</w:t>
            </w:r>
            <w:r>
              <w:rPr>
                <w:rFonts w:hint="default" w:ascii="Times New Roman" w:hAnsi="Times New Roman" w:eastAsia="方正仿宋_GBK" w:cs="Times New Roman"/>
                <w:color w:val="auto"/>
                <w:kern w:val="0"/>
                <w:szCs w:val="21"/>
                <w:lang w:val="en-US" w:eastAsia="zh-CN"/>
              </w:rPr>
              <w:t>2</w:t>
            </w:r>
            <w:r>
              <w:rPr>
                <w:rFonts w:hint="default" w:ascii="Times New Roman" w:hAnsi="Times New Roman" w:eastAsia="方正仿宋_GBK" w:cs="Times New Roman"/>
                <w:color w:val="auto"/>
                <w:kern w:val="0"/>
                <w:szCs w:val="21"/>
              </w:rPr>
              <w:t>号）、《财政部农业部关于全面推开农业三项补贴改革工作的通知》(财农〔20</w:t>
            </w:r>
            <w:r>
              <w:rPr>
                <w:rFonts w:hint="eastAsia" w:ascii="Times New Roman" w:hAnsi="Times New Roman" w:eastAsia="方正仿宋_GBK" w:cs="Times New Roman"/>
                <w:color w:val="auto"/>
                <w:kern w:val="0"/>
                <w:szCs w:val="21"/>
                <w:lang w:val="en-US" w:eastAsia="zh-CN"/>
              </w:rPr>
              <w:t>16</w:t>
            </w:r>
            <w:r>
              <w:rPr>
                <w:rFonts w:hint="default" w:ascii="Times New Roman" w:hAnsi="Times New Roman" w:eastAsia="方正仿宋_GBK" w:cs="Times New Roman"/>
                <w:color w:val="auto"/>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auto"/>
                <w:kern w:val="0"/>
                <w:szCs w:val="21"/>
                <w:lang w:eastAsia="zh-CN"/>
              </w:rPr>
              <w:t>、</w:t>
            </w:r>
            <w:r>
              <w:rPr>
                <w:rFonts w:hint="default" w:ascii="Times New Roman" w:hAnsi="Times New Roman" w:eastAsia="方正仿宋_GBK" w:cs="Times New Roman"/>
                <w:color w:val="auto"/>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14:paraId="5B86A0CB">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0F57C023">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邱彬</w:t>
            </w:r>
          </w:p>
        </w:tc>
        <w:tc>
          <w:tcPr>
            <w:tcW w:w="690" w:type="dxa"/>
            <w:tcBorders>
              <w:tl2br w:val="nil"/>
              <w:tr2bl w:val="nil"/>
            </w:tcBorders>
            <w:tcMar>
              <w:top w:w="15" w:type="dxa"/>
              <w:left w:w="15" w:type="dxa"/>
              <w:right w:w="15" w:type="dxa"/>
            </w:tcMar>
            <w:vAlign w:val="center"/>
          </w:tcPr>
          <w:p w14:paraId="23BEF2E7">
            <w:pPr>
              <w:keepNext w:val="0"/>
              <w:keepLines w:val="0"/>
              <w:pageBreakBefore w:val="0"/>
              <w:widowControl/>
              <w:kinsoku/>
              <w:wordWrap/>
              <w:overflowPunct/>
              <w:topLinePunct w:val="0"/>
              <w:autoSpaceDE/>
              <w:autoSpaceDN/>
              <w:bidi w:val="0"/>
              <w:adjustRightInd/>
              <w:snapToGrid/>
              <w:spacing w:line="240" w:lineRule="exact"/>
              <w:jc w:val="both"/>
              <w:rPr>
                <w:rFonts w:hint="default" w:ascii="方正仿宋_GBK" w:hAnsi="方正仿宋_GBK" w:eastAsia="方正仿宋_GBK" w:cs="方正仿宋_GBK"/>
                <w:color w:val="auto"/>
                <w:sz w:val="21"/>
                <w:szCs w:val="21"/>
                <w:lang w:val="en-US" w:eastAsia="zh-CN"/>
              </w:rPr>
            </w:pPr>
            <w:bookmarkStart w:id="0" w:name="OLE_LINK1"/>
            <w:r>
              <w:rPr>
                <w:rFonts w:hint="eastAsia" w:ascii="方正仿宋_GBK" w:hAnsi="方正仿宋_GBK" w:eastAsia="方正仿宋_GBK" w:cs="方正仿宋_GBK"/>
                <w:color w:val="auto"/>
                <w:sz w:val="21"/>
                <w:szCs w:val="21"/>
                <w:lang w:val="en-US" w:eastAsia="zh-CN"/>
              </w:rPr>
              <w:t>产业发展服务中心</w:t>
            </w:r>
            <w:bookmarkEnd w:id="0"/>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7B3C">
            <w:pPr>
              <w:overflowPunct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color w:val="auto"/>
                <w:kern w:val="0"/>
                <w:sz w:val="21"/>
                <w:szCs w:val="21"/>
                <w:lang w:val="en-US" w:eastAsia="zh-CN"/>
              </w:rPr>
              <w:t>兴隆</w:t>
            </w:r>
            <w:r>
              <w:rPr>
                <w:rFonts w:hint="eastAsia" w:ascii="方正仿宋_GBK" w:hAnsi="方正仿宋_GBK" w:eastAsia="方正仿宋_GBK" w:cs="方正仿宋_GBK"/>
                <w:b w:val="0"/>
                <w:color w:val="auto"/>
                <w:kern w:val="0"/>
                <w:sz w:val="21"/>
                <w:szCs w:val="21"/>
              </w:rPr>
              <w:t>镇人民政府</w:t>
            </w:r>
          </w:p>
        </w:tc>
        <w:tc>
          <w:tcPr>
            <w:tcW w:w="1394" w:type="dxa"/>
            <w:tcBorders>
              <w:tl2br w:val="nil"/>
              <w:tr2bl w:val="nil"/>
            </w:tcBorders>
            <w:tcMar>
              <w:top w:w="15" w:type="dxa"/>
              <w:left w:w="15" w:type="dxa"/>
              <w:right w:w="15" w:type="dxa"/>
            </w:tcMar>
            <w:vAlign w:val="center"/>
          </w:tcPr>
          <w:p w14:paraId="72BA2D37">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0D30C879">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5C7C4E79">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w:t>
            </w:r>
          </w:p>
        </w:tc>
        <w:tc>
          <w:tcPr>
            <w:tcW w:w="573" w:type="dxa"/>
            <w:tcBorders>
              <w:tl2br w:val="nil"/>
              <w:tr2bl w:val="nil"/>
            </w:tcBorders>
            <w:tcMar>
              <w:top w:w="15" w:type="dxa"/>
              <w:left w:w="15" w:type="dxa"/>
              <w:right w:w="15" w:type="dxa"/>
            </w:tcMar>
            <w:vAlign w:val="center"/>
          </w:tcPr>
          <w:p w14:paraId="64D6790D">
            <w:pPr>
              <w:overflowPunct w:val="0"/>
              <w:snapToGrid w:val="0"/>
              <w:jc w:val="center"/>
              <w:rPr>
                <w:rFonts w:hint="default" w:ascii="Times New Roman" w:hAnsi="Times New Roman" w:eastAsia="宋体" w:cs="Times New Roman"/>
                <w:color w:val="auto"/>
                <w:sz w:val="18"/>
                <w:szCs w:val="18"/>
              </w:rPr>
            </w:pPr>
          </w:p>
        </w:tc>
        <w:tc>
          <w:tcPr>
            <w:tcW w:w="506" w:type="dxa"/>
            <w:tcBorders>
              <w:tl2br w:val="nil"/>
              <w:tr2bl w:val="nil"/>
            </w:tcBorders>
            <w:tcMar>
              <w:top w:w="15" w:type="dxa"/>
              <w:left w:w="15" w:type="dxa"/>
              <w:right w:w="15" w:type="dxa"/>
            </w:tcMar>
            <w:vAlign w:val="center"/>
          </w:tcPr>
          <w:p w14:paraId="0C2D3706">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w:t>
            </w:r>
          </w:p>
        </w:tc>
        <w:tc>
          <w:tcPr>
            <w:tcW w:w="557" w:type="dxa"/>
            <w:tcBorders>
              <w:tl2br w:val="nil"/>
              <w:tr2bl w:val="nil"/>
            </w:tcBorders>
            <w:tcMar>
              <w:top w:w="15" w:type="dxa"/>
              <w:left w:w="15" w:type="dxa"/>
              <w:right w:w="15" w:type="dxa"/>
            </w:tcMar>
            <w:vAlign w:val="center"/>
          </w:tcPr>
          <w:p w14:paraId="0C0A0F3A">
            <w:pPr>
              <w:overflowPunct w:val="0"/>
              <w:snapToGrid w:val="0"/>
              <w:jc w:val="center"/>
              <w:rPr>
                <w:rFonts w:hint="default" w:ascii="Times New Roman" w:hAnsi="Times New Roman" w:eastAsia="宋体" w:cs="Times New Roman"/>
                <w:color w:val="auto"/>
                <w:sz w:val="18"/>
                <w:szCs w:val="18"/>
              </w:rPr>
            </w:pPr>
          </w:p>
        </w:tc>
        <w:tc>
          <w:tcPr>
            <w:tcW w:w="534" w:type="dxa"/>
            <w:tcBorders>
              <w:tl2br w:val="nil"/>
              <w:tr2bl w:val="nil"/>
            </w:tcBorders>
            <w:tcMar>
              <w:top w:w="15" w:type="dxa"/>
              <w:left w:w="15" w:type="dxa"/>
              <w:right w:w="15" w:type="dxa"/>
            </w:tcMar>
            <w:vAlign w:val="center"/>
          </w:tcPr>
          <w:p w14:paraId="078B6AAF">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w:t>
            </w:r>
          </w:p>
        </w:tc>
      </w:tr>
      <w:tr w14:paraId="2C30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17DFA0A5">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lang w:val="en-US" w:eastAsia="zh-CN"/>
              </w:rPr>
              <w:t>2</w:t>
            </w:r>
          </w:p>
        </w:tc>
        <w:tc>
          <w:tcPr>
            <w:tcW w:w="602" w:type="dxa"/>
            <w:tcBorders>
              <w:tl2br w:val="nil"/>
              <w:tr2bl w:val="nil"/>
            </w:tcBorders>
            <w:tcMar>
              <w:top w:w="15" w:type="dxa"/>
              <w:left w:w="15" w:type="dxa"/>
              <w:right w:w="15" w:type="dxa"/>
            </w:tcMar>
            <w:vAlign w:val="center"/>
          </w:tcPr>
          <w:p w14:paraId="32F4E345">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农业</w:t>
            </w:r>
            <w:r>
              <w:rPr>
                <w:rFonts w:hint="default" w:ascii="Times New Roman" w:hAnsi="Times New Roman" w:eastAsia="方正仿宋_GBK" w:cs="Times New Roman"/>
                <w:color w:val="auto"/>
                <w:kern w:val="0"/>
                <w:szCs w:val="21"/>
                <w:lang w:eastAsia="zh-CN"/>
              </w:rPr>
              <w:t>产业</w:t>
            </w:r>
            <w:r>
              <w:rPr>
                <w:rFonts w:hint="default" w:ascii="Times New Roman" w:hAnsi="Times New Roman" w:eastAsia="方正仿宋_GBK" w:cs="Times New Roman"/>
                <w:color w:val="auto"/>
                <w:kern w:val="0"/>
                <w:szCs w:val="21"/>
              </w:rPr>
              <w:t>发展资金</w:t>
            </w:r>
          </w:p>
        </w:tc>
        <w:tc>
          <w:tcPr>
            <w:tcW w:w="1171" w:type="dxa"/>
            <w:tcBorders>
              <w:tl2br w:val="nil"/>
              <w:tr2bl w:val="nil"/>
            </w:tcBorders>
            <w:tcMar>
              <w:top w:w="15" w:type="dxa"/>
              <w:left w:w="15" w:type="dxa"/>
              <w:right w:w="15" w:type="dxa"/>
            </w:tcMar>
            <w:vAlign w:val="center"/>
          </w:tcPr>
          <w:p w14:paraId="609F92C6">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农机购置</w:t>
            </w:r>
            <w:r>
              <w:rPr>
                <w:rFonts w:hint="default" w:ascii="Times New Roman" w:hAnsi="Times New Roman" w:eastAsia="方正仿宋_GBK" w:cs="Times New Roman"/>
                <w:color w:val="auto"/>
                <w:kern w:val="0"/>
                <w:szCs w:val="21"/>
                <w:lang w:eastAsia="zh-CN"/>
              </w:rPr>
              <w:t>与应用</w:t>
            </w:r>
            <w:r>
              <w:rPr>
                <w:rFonts w:hint="default" w:ascii="Times New Roman" w:hAnsi="Times New Roman" w:eastAsia="方正仿宋_GBK" w:cs="Times New Roman"/>
                <w:color w:val="auto"/>
                <w:kern w:val="0"/>
                <w:szCs w:val="21"/>
              </w:rPr>
              <w:t>补贴</w:t>
            </w:r>
          </w:p>
        </w:tc>
        <w:tc>
          <w:tcPr>
            <w:tcW w:w="2129" w:type="dxa"/>
            <w:tcBorders>
              <w:tl2br w:val="nil"/>
              <w:tr2bl w:val="nil"/>
            </w:tcBorders>
            <w:tcMar>
              <w:top w:w="15" w:type="dxa"/>
              <w:left w:w="15" w:type="dxa"/>
              <w:right w:w="15" w:type="dxa"/>
            </w:tcMar>
            <w:vAlign w:val="center"/>
          </w:tcPr>
          <w:p w14:paraId="6383B586">
            <w:pPr>
              <w:widowControl/>
              <w:spacing w:line="300" w:lineRule="exact"/>
              <w:jc w:val="left"/>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1.政策依据</w:t>
            </w:r>
            <w:r>
              <w:rPr>
                <w:rFonts w:hint="eastAsia" w:ascii="Times New Roman" w:hAnsi="Times New Roman" w:eastAsia="方正仿宋_GBK" w:cs="Times New Roman"/>
                <w:color w:val="auto"/>
                <w:kern w:val="0"/>
                <w:szCs w:val="21"/>
                <w:lang w:eastAsia="zh-CN"/>
              </w:rPr>
              <w:t>。</w:t>
            </w:r>
            <w:r>
              <w:rPr>
                <w:rFonts w:hint="default" w:ascii="Times New Roman" w:hAnsi="Times New Roman" w:eastAsia="方正仿宋_GBK" w:cs="Times New Roman"/>
                <w:color w:val="auto"/>
                <w:kern w:val="0"/>
                <w:szCs w:val="21"/>
              </w:rPr>
              <w:br w:type="textWrapping"/>
            </w:r>
            <w:r>
              <w:rPr>
                <w:rFonts w:hint="default" w:ascii="Times New Roman" w:hAnsi="Times New Roman" w:eastAsia="方正仿宋_GBK" w:cs="Times New Roman"/>
                <w:color w:val="auto"/>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auto"/>
                <w:kern w:val="0"/>
                <w:szCs w:val="21"/>
                <w:lang w:eastAsia="zh-CN"/>
              </w:rPr>
              <w:t>。</w:t>
            </w:r>
            <w:r>
              <w:rPr>
                <w:rFonts w:hint="default" w:ascii="Times New Roman" w:hAnsi="Times New Roman" w:eastAsia="方正仿宋_GBK" w:cs="Times New Roman"/>
                <w:color w:val="auto"/>
                <w:kern w:val="0"/>
                <w:szCs w:val="21"/>
              </w:rPr>
              <w:br w:type="textWrapping"/>
            </w:r>
            <w:r>
              <w:rPr>
                <w:rFonts w:hint="default" w:ascii="Times New Roman" w:hAnsi="Times New Roman" w:eastAsia="方正仿宋_GBK" w:cs="Times New Roman"/>
                <w:color w:val="auto"/>
                <w:kern w:val="0"/>
                <w:szCs w:val="21"/>
              </w:rPr>
              <w:t>3.补贴结果</w:t>
            </w:r>
            <w:r>
              <w:rPr>
                <w:rFonts w:hint="eastAsia" w:ascii="Times New Roman" w:hAnsi="Times New Roman" w:eastAsia="方正仿宋_GBK" w:cs="Times New Roman"/>
                <w:color w:val="auto"/>
                <w:kern w:val="0"/>
                <w:szCs w:val="21"/>
                <w:lang w:eastAsia="zh-CN"/>
              </w:rPr>
              <w:t>。</w:t>
            </w:r>
            <w:r>
              <w:rPr>
                <w:rFonts w:hint="default" w:ascii="Times New Roman" w:hAnsi="Times New Roman" w:eastAsia="方正仿宋_GBK" w:cs="Times New Roman"/>
                <w:color w:val="auto"/>
                <w:kern w:val="0"/>
                <w:szCs w:val="21"/>
              </w:rPr>
              <w:br w:type="textWrapping"/>
            </w:r>
            <w:r>
              <w:rPr>
                <w:rFonts w:hint="default" w:ascii="Times New Roman" w:hAnsi="Times New Roman" w:eastAsia="方正仿宋_GBK" w:cs="Times New Roman"/>
                <w:color w:val="auto"/>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40294DA4">
            <w:pPr>
              <w:widowControl/>
              <w:spacing w:line="300" w:lineRule="exact"/>
              <w:jc w:val="both"/>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auto"/>
                <w:kern w:val="0"/>
                <w:szCs w:val="21"/>
                <w:lang w:val="en-US" w:eastAsia="zh-CN"/>
              </w:rPr>
              <w:t>3</w:t>
            </w:r>
            <w:r>
              <w:rPr>
                <w:rFonts w:hint="default" w:ascii="Times New Roman" w:hAnsi="Times New Roman" w:eastAsia="方正仿宋_GBK" w:cs="Times New Roman"/>
                <w:color w:val="auto"/>
                <w:kern w:val="0"/>
                <w:szCs w:val="21"/>
              </w:rPr>
              <w:t>〕1</w:t>
            </w:r>
            <w:r>
              <w:rPr>
                <w:rFonts w:hint="default" w:ascii="Times New Roman" w:hAnsi="Times New Roman" w:eastAsia="方正仿宋_GBK" w:cs="Times New Roman"/>
                <w:color w:val="auto"/>
                <w:kern w:val="0"/>
                <w:szCs w:val="21"/>
                <w:lang w:val="en-US" w:eastAsia="zh-CN"/>
              </w:rPr>
              <w:t>1</w:t>
            </w:r>
            <w:r>
              <w:rPr>
                <w:rFonts w:hint="default" w:ascii="Times New Roman" w:hAnsi="Times New Roman" w:eastAsia="方正仿宋_GBK" w:cs="Times New Roman"/>
                <w:color w:val="auto"/>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14:paraId="7C255721">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2D5A825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邱彬</w:t>
            </w:r>
          </w:p>
        </w:tc>
        <w:tc>
          <w:tcPr>
            <w:tcW w:w="690" w:type="dxa"/>
            <w:tcBorders>
              <w:tl2br w:val="nil"/>
              <w:tr2bl w:val="nil"/>
            </w:tcBorders>
            <w:tcMar>
              <w:top w:w="15" w:type="dxa"/>
              <w:left w:w="15" w:type="dxa"/>
              <w:right w:w="15" w:type="dxa"/>
            </w:tcMar>
            <w:vAlign w:val="center"/>
          </w:tcPr>
          <w:p w14:paraId="2F04548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02945">
            <w:pPr>
              <w:overflowPunct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color w:val="auto"/>
                <w:kern w:val="0"/>
                <w:sz w:val="21"/>
                <w:szCs w:val="21"/>
                <w:lang w:val="en-US" w:eastAsia="zh-CN"/>
              </w:rPr>
              <w:t>兴隆</w:t>
            </w:r>
            <w:r>
              <w:rPr>
                <w:rFonts w:hint="eastAsia" w:ascii="方正仿宋_GBK" w:hAnsi="方正仿宋_GBK" w:eastAsia="方正仿宋_GBK" w:cs="方正仿宋_GBK"/>
                <w:b w:val="0"/>
                <w:color w:val="auto"/>
                <w:kern w:val="0"/>
                <w:sz w:val="21"/>
                <w:szCs w:val="21"/>
              </w:rPr>
              <w:t>镇人民政府</w:t>
            </w:r>
          </w:p>
        </w:tc>
        <w:tc>
          <w:tcPr>
            <w:tcW w:w="1394" w:type="dxa"/>
            <w:tcBorders>
              <w:tl2br w:val="nil"/>
              <w:tr2bl w:val="nil"/>
            </w:tcBorders>
            <w:tcMar>
              <w:top w:w="15" w:type="dxa"/>
              <w:left w:w="15" w:type="dxa"/>
              <w:right w:w="15" w:type="dxa"/>
            </w:tcMar>
            <w:vAlign w:val="center"/>
          </w:tcPr>
          <w:p w14:paraId="304D3199">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50734170">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410F6979">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w:t>
            </w:r>
          </w:p>
        </w:tc>
        <w:tc>
          <w:tcPr>
            <w:tcW w:w="573" w:type="dxa"/>
            <w:tcBorders>
              <w:tl2br w:val="nil"/>
              <w:tr2bl w:val="nil"/>
            </w:tcBorders>
            <w:tcMar>
              <w:top w:w="15" w:type="dxa"/>
              <w:left w:w="15" w:type="dxa"/>
              <w:right w:w="15" w:type="dxa"/>
            </w:tcMar>
            <w:vAlign w:val="center"/>
          </w:tcPr>
          <w:p w14:paraId="2842CEDF">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　</w:t>
            </w:r>
          </w:p>
        </w:tc>
        <w:tc>
          <w:tcPr>
            <w:tcW w:w="506" w:type="dxa"/>
            <w:tcBorders>
              <w:tl2br w:val="nil"/>
              <w:tr2bl w:val="nil"/>
            </w:tcBorders>
            <w:tcMar>
              <w:top w:w="15" w:type="dxa"/>
              <w:left w:w="15" w:type="dxa"/>
              <w:right w:w="15" w:type="dxa"/>
            </w:tcMar>
            <w:vAlign w:val="center"/>
          </w:tcPr>
          <w:p w14:paraId="164CBEF2">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w:t>
            </w:r>
          </w:p>
        </w:tc>
        <w:tc>
          <w:tcPr>
            <w:tcW w:w="557" w:type="dxa"/>
            <w:tcBorders>
              <w:tl2br w:val="nil"/>
              <w:tr2bl w:val="nil"/>
            </w:tcBorders>
            <w:tcMar>
              <w:top w:w="15" w:type="dxa"/>
              <w:left w:w="15" w:type="dxa"/>
              <w:right w:w="15" w:type="dxa"/>
            </w:tcMar>
            <w:vAlign w:val="center"/>
          </w:tcPr>
          <w:p w14:paraId="12499FA6">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　</w:t>
            </w:r>
          </w:p>
        </w:tc>
        <w:tc>
          <w:tcPr>
            <w:tcW w:w="534" w:type="dxa"/>
            <w:tcBorders>
              <w:tl2br w:val="nil"/>
              <w:tr2bl w:val="nil"/>
            </w:tcBorders>
            <w:tcMar>
              <w:top w:w="15" w:type="dxa"/>
              <w:left w:w="15" w:type="dxa"/>
              <w:right w:w="15" w:type="dxa"/>
            </w:tcMar>
            <w:vAlign w:val="center"/>
          </w:tcPr>
          <w:p w14:paraId="7143BD07">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　</w:t>
            </w:r>
          </w:p>
          <w:p w14:paraId="5B823E03">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w:t>
            </w:r>
          </w:p>
        </w:tc>
      </w:tr>
      <w:tr w14:paraId="36AF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4DCF7402">
            <w:pPr>
              <w:widowControl/>
              <w:spacing w:line="300" w:lineRule="exact"/>
              <w:jc w:val="center"/>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lang w:val="en-US" w:eastAsia="zh-CN"/>
              </w:rPr>
              <w:t>3</w:t>
            </w:r>
          </w:p>
        </w:tc>
        <w:tc>
          <w:tcPr>
            <w:tcW w:w="602" w:type="dxa"/>
            <w:tcBorders>
              <w:tl2br w:val="nil"/>
              <w:tr2bl w:val="nil"/>
            </w:tcBorders>
            <w:tcMar>
              <w:top w:w="15" w:type="dxa"/>
              <w:left w:w="15" w:type="dxa"/>
              <w:right w:w="15" w:type="dxa"/>
            </w:tcMar>
            <w:vAlign w:val="center"/>
          </w:tcPr>
          <w:p w14:paraId="2BDDD4E6">
            <w:pPr>
              <w:widowControl/>
              <w:spacing w:line="300" w:lineRule="exact"/>
              <w:jc w:val="center"/>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lang w:eastAsia="zh-CN"/>
              </w:rPr>
              <w:t>农业防灾减灾资金（</w:t>
            </w:r>
            <w:r>
              <w:rPr>
                <w:rFonts w:hint="default" w:ascii="Times New Roman" w:hAnsi="Times New Roman" w:eastAsia="方正仿宋_GBK" w:cs="Times New Roman"/>
                <w:color w:val="auto"/>
                <w:kern w:val="0"/>
                <w:szCs w:val="21"/>
              </w:rPr>
              <w:t>动物防疫补助</w:t>
            </w:r>
            <w:r>
              <w:rPr>
                <w:rFonts w:hint="default" w:ascii="Times New Roman" w:hAnsi="Times New Roman" w:eastAsia="方正仿宋_GBK" w:cs="Times New Roman"/>
                <w:color w:val="auto"/>
                <w:kern w:val="0"/>
                <w:szCs w:val="21"/>
                <w:lang w:eastAsia="zh-CN"/>
              </w:rPr>
              <w:t>）</w:t>
            </w:r>
          </w:p>
        </w:tc>
        <w:tc>
          <w:tcPr>
            <w:tcW w:w="1171" w:type="dxa"/>
            <w:tcBorders>
              <w:tl2br w:val="nil"/>
              <w:tr2bl w:val="nil"/>
            </w:tcBorders>
            <w:tcMar>
              <w:top w:w="15" w:type="dxa"/>
              <w:left w:w="15" w:type="dxa"/>
              <w:right w:w="15" w:type="dxa"/>
            </w:tcMar>
            <w:vAlign w:val="center"/>
          </w:tcPr>
          <w:p w14:paraId="34D8978B">
            <w:pPr>
              <w:widowControl/>
              <w:spacing w:line="300" w:lineRule="exact"/>
              <w:jc w:val="center"/>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14:paraId="0527FE2A">
            <w:pPr>
              <w:widowControl/>
              <w:spacing w:line="300" w:lineRule="exact"/>
              <w:jc w:val="lef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1.政策依据</w:t>
            </w:r>
            <w:r>
              <w:rPr>
                <w:rFonts w:hint="eastAsia" w:ascii="Times New Roman" w:hAnsi="Times New Roman" w:eastAsia="方正仿宋_GBK" w:cs="Times New Roman"/>
                <w:color w:val="auto"/>
                <w:kern w:val="0"/>
                <w:szCs w:val="21"/>
                <w:lang w:eastAsia="zh-CN"/>
              </w:rPr>
              <w:t>。</w:t>
            </w:r>
            <w:r>
              <w:rPr>
                <w:rFonts w:hint="default" w:ascii="Times New Roman" w:hAnsi="Times New Roman" w:eastAsia="方正仿宋_GBK" w:cs="Times New Roman"/>
                <w:color w:val="auto"/>
                <w:kern w:val="0"/>
                <w:szCs w:val="21"/>
              </w:rPr>
              <w:t xml:space="preserve">   </w:t>
            </w:r>
          </w:p>
          <w:p w14:paraId="37AAFEA9">
            <w:pPr>
              <w:widowControl/>
              <w:spacing w:line="300" w:lineRule="exact"/>
              <w:jc w:val="lef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auto"/>
                <w:kern w:val="0"/>
                <w:szCs w:val="21"/>
                <w:lang w:eastAsia="zh-CN"/>
              </w:rPr>
              <w:t>。</w:t>
            </w:r>
            <w:r>
              <w:rPr>
                <w:rFonts w:hint="default" w:ascii="Times New Roman" w:hAnsi="Times New Roman" w:eastAsia="方正仿宋_GBK" w:cs="Times New Roman"/>
                <w:color w:val="auto"/>
                <w:kern w:val="0"/>
                <w:szCs w:val="21"/>
              </w:rPr>
              <w:t xml:space="preserve">         </w:t>
            </w:r>
          </w:p>
          <w:p w14:paraId="49CC7EB4">
            <w:pPr>
              <w:widowControl/>
              <w:spacing w:line="300" w:lineRule="exact"/>
              <w:jc w:val="lef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3.补贴结果</w:t>
            </w:r>
            <w:r>
              <w:rPr>
                <w:rFonts w:hint="eastAsia" w:ascii="Times New Roman" w:hAnsi="Times New Roman" w:eastAsia="方正仿宋_GBK" w:cs="Times New Roman"/>
                <w:color w:val="auto"/>
                <w:kern w:val="0"/>
                <w:szCs w:val="21"/>
                <w:lang w:eastAsia="zh-CN"/>
              </w:rPr>
              <w:t>。</w:t>
            </w:r>
            <w:r>
              <w:rPr>
                <w:rFonts w:hint="default" w:ascii="Times New Roman" w:hAnsi="Times New Roman" w:eastAsia="方正仿宋_GBK" w:cs="Times New Roman"/>
                <w:color w:val="auto"/>
                <w:kern w:val="0"/>
                <w:szCs w:val="21"/>
              </w:rPr>
              <w:t xml:space="preserve">   </w:t>
            </w:r>
          </w:p>
          <w:p w14:paraId="473C3A0A">
            <w:pPr>
              <w:widowControl/>
              <w:spacing w:line="300" w:lineRule="exact"/>
              <w:jc w:val="left"/>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1A22DEF8">
            <w:pPr>
              <w:widowControl/>
              <w:spacing w:line="300" w:lineRule="exact"/>
              <w:jc w:val="both"/>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rPr>
              <w:t>《中华人民共和国动物防疫法》、《财政部 农业农村部</w:t>
            </w:r>
            <w:r>
              <w:rPr>
                <w:rFonts w:hint="default" w:ascii="Times New Roman" w:hAnsi="Times New Roman" w:eastAsia="方正仿宋_GBK" w:cs="Times New Roman"/>
                <w:color w:val="auto"/>
                <w:kern w:val="0"/>
                <w:szCs w:val="21"/>
                <w:lang w:val="en"/>
              </w:rPr>
              <w:t xml:space="preserve"> </w:t>
            </w:r>
            <w:r>
              <w:rPr>
                <w:rFonts w:hint="default" w:ascii="Times New Roman" w:hAnsi="Times New Roman" w:eastAsia="方正仿宋_GBK" w:cs="Times New Roman"/>
                <w:color w:val="auto"/>
                <w:kern w:val="0"/>
                <w:szCs w:val="21"/>
                <w:lang w:val="en" w:eastAsia="zh-CN"/>
              </w:rPr>
              <w:t>水利部</w:t>
            </w:r>
            <w:r>
              <w:rPr>
                <w:rFonts w:hint="default" w:ascii="Times New Roman" w:hAnsi="Times New Roman" w:eastAsia="方正仿宋_GBK" w:cs="Times New Roman"/>
                <w:color w:val="auto"/>
                <w:kern w:val="0"/>
                <w:szCs w:val="21"/>
              </w:rPr>
              <w:t>关于印发农业</w:t>
            </w:r>
            <w:r>
              <w:rPr>
                <w:rFonts w:hint="default" w:ascii="Times New Roman" w:hAnsi="Times New Roman" w:eastAsia="方正仿宋_GBK" w:cs="Times New Roman"/>
                <w:color w:val="auto"/>
                <w:kern w:val="0"/>
                <w:szCs w:val="21"/>
                <w:lang w:eastAsia="zh-CN"/>
              </w:rPr>
              <w:t>防灾减灾和水利救灾</w:t>
            </w:r>
            <w:r>
              <w:rPr>
                <w:rFonts w:hint="default" w:ascii="Times New Roman" w:hAnsi="Times New Roman" w:eastAsia="方正仿宋_GBK" w:cs="Times New Roman"/>
                <w:color w:val="auto"/>
                <w:kern w:val="0"/>
                <w:szCs w:val="21"/>
              </w:rPr>
              <w:t>资金管理办法的通知》（财农〔202</w:t>
            </w:r>
            <w:r>
              <w:rPr>
                <w:rFonts w:hint="default" w:ascii="Times New Roman" w:hAnsi="Times New Roman" w:eastAsia="方正仿宋_GBK" w:cs="Times New Roman"/>
                <w:color w:val="auto"/>
                <w:kern w:val="0"/>
                <w:szCs w:val="21"/>
                <w:lang w:val="en-US" w:eastAsia="zh-CN"/>
              </w:rPr>
              <w:t>3</w:t>
            </w:r>
            <w:r>
              <w:rPr>
                <w:rFonts w:hint="default" w:ascii="Times New Roman" w:hAnsi="Times New Roman" w:eastAsia="方正仿宋_GBK" w:cs="Times New Roman"/>
                <w:color w:val="auto"/>
                <w:kern w:val="0"/>
                <w:szCs w:val="21"/>
              </w:rPr>
              <w:t>〕1</w:t>
            </w:r>
            <w:r>
              <w:rPr>
                <w:rFonts w:hint="default" w:ascii="Times New Roman" w:hAnsi="Times New Roman" w:eastAsia="方正仿宋_GBK" w:cs="Times New Roman"/>
                <w:color w:val="auto"/>
                <w:kern w:val="0"/>
                <w:szCs w:val="21"/>
                <w:lang w:val="en-US" w:eastAsia="zh-CN"/>
              </w:rPr>
              <w:t>3</w:t>
            </w:r>
            <w:r>
              <w:rPr>
                <w:rFonts w:hint="default" w:ascii="Times New Roman" w:hAnsi="Times New Roman" w:eastAsia="方正仿宋_GBK" w:cs="Times New Roman"/>
                <w:color w:val="auto"/>
                <w:kern w:val="0"/>
                <w:szCs w:val="21"/>
              </w:rPr>
              <w:t>号）</w:t>
            </w:r>
          </w:p>
        </w:tc>
        <w:tc>
          <w:tcPr>
            <w:tcW w:w="1260" w:type="dxa"/>
            <w:tcBorders>
              <w:tl2br w:val="nil"/>
              <w:tr2bl w:val="nil"/>
            </w:tcBorders>
            <w:tcMar>
              <w:top w:w="15" w:type="dxa"/>
              <w:left w:w="15" w:type="dxa"/>
              <w:right w:w="15" w:type="dxa"/>
            </w:tcMar>
            <w:vAlign w:val="center"/>
          </w:tcPr>
          <w:p w14:paraId="69070A0C">
            <w:pPr>
              <w:widowControl/>
              <w:spacing w:line="300" w:lineRule="exact"/>
              <w:jc w:val="center"/>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7A7E0A6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邱彬</w:t>
            </w:r>
          </w:p>
        </w:tc>
        <w:tc>
          <w:tcPr>
            <w:tcW w:w="690" w:type="dxa"/>
            <w:tcBorders>
              <w:tl2br w:val="nil"/>
              <w:tr2bl w:val="nil"/>
            </w:tcBorders>
            <w:tcMar>
              <w:top w:w="15" w:type="dxa"/>
              <w:left w:w="15" w:type="dxa"/>
              <w:right w:w="15" w:type="dxa"/>
            </w:tcMar>
            <w:vAlign w:val="center"/>
          </w:tcPr>
          <w:p w14:paraId="3EE4E47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C6AB9">
            <w:pPr>
              <w:overflowPunct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color w:val="auto"/>
                <w:kern w:val="0"/>
                <w:sz w:val="21"/>
                <w:szCs w:val="21"/>
                <w:lang w:val="en-US" w:eastAsia="zh-CN"/>
              </w:rPr>
              <w:t>兴隆</w:t>
            </w:r>
            <w:r>
              <w:rPr>
                <w:rFonts w:hint="eastAsia" w:ascii="方正仿宋_GBK" w:hAnsi="方正仿宋_GBK" w:eastAsia="方正仿宋_GBK" w:cs="方正仿宋_GBK"/>
                <w:b w:val="0"/>
                <w:color w:val="auto"/>
                <w:kern w:val="0"/>
                <w:sz w:val="21"/>
                <w:szCs w:val="21"/>
              </w:rPr>
              <w:t>镇人民政府</w:t>
            </w:r>
          </w:p>
        </w:tc>
        <w:tc>
          <w:tcPr>
            <w:tcW w:w="1394" w:type="dxa"/>
            <w:tcBorders>
              <w:tl2br w:val="nil"/>
              <w:tr2bl w:val="nil"/>
            </w:tcBorders>
            <w:tcMar>
              <w:top w:w="15" w:type="dxa"/>
              <w:left w:w="15" w:type="dxa"/>
              <w:right w:w="15" w:type="dxa"/>
            </w:tcMar>
            <w:vAlign w:val="center"/>
          </w:tcPr>
          <w:p w14:paraId="268EB579">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50768275">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4E521AF0">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p>
        </w:tc>
        <w:tc>
          <w:tcPr>
            <w:tcW w:w="573" w:type="dxa"/>
            <w:tcBorders>
              <w:tl2br w:val="nil"/>
              <w:tr2bl w:val="nil"/>
            </w:tcBorders>
            <w:tcMar>
              <w:top w:w="15" w:type="dxa"/>
              <w:left w:w="15" w:type="dxa"/>
              <w:right w:w="15" w:type="dxa"/>
            </w:tcMar>
            <w:vAlign w:val="center"/>
          </w:tcPr>
          <w:p w14:paraId="3E8849E1">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　</w:t>
            </w:r>
          </w:p>
        </w:tc>
        <w:tc>
          <w:tcPr>
            <w:tcW w:w="506" w:type="dxa"/>
            <w:tcBorders>
              <w:tl2br w:val="nil"/>
              <w:tr2bl w:val="nil"/>
            </w:tcBorders>
            <w:tcMar>
              <w:top w:w="15" w:type="dxa"/>
              <w:left w:w="15" w:type="dxa"/>
              <w:right w:w="15" w:type="dxa"/>
            </w:tcMar>
            <w:vAlign w:val="center"/>
          </w:tcPr>
          <w:p w14:paraId="6B51C2C5">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p>
        </w:tc>
        <w:tc>
          <w:tcPr>
            <w:tcW w:w="557" w:type="dxa"/>
            <w:tcBorders>
              <w:tl2br w:val="nil"/>
              <w:tr2bl w:val="nil"/>
            </w:tcBorders>
            <w:tcMar>
              <w:top w:w="15" w:type="dxa"/>
              <w:left w:w="15" w:type="dxa"/>
              <w:right w:w="15" w:type="dxa"/>
            </w:tcMar>
            <w:vAlign w:val="center"/>
          </w:tcPr>
          <w:p w14:paraId="32448C52">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　</w:t>
            </w:r>
          </w:p>
        </w:tc>
        <w:tc>
          <w:tcPr>
            <w:tcW w:w="534" w:type="dxa"/>
            <w:tcBorders>
              <w:tl2br w:val="nil"/>
              <w:tr2bl w:val="nil"/>
            </w:tcBorders>
            <w:tcMar>
              <w:top w:w="15" w:type="dxa"/>
              <w:left w:w="15" w:type="dxa"/>
              <w:right w:w="15" w:type="dxa"/>
            </w:tcMar>
            <w:vAlign w:val="center"/>
          </w:tcPr>
          <w:p w14:paraId="19284841">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　</w:t>
            </w:r>
          </w:p>
          <w:p w14:paraId="2A69E59E">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p>
        </w:tc>
      </w:tr>
      <w:tr w14:paraId="225F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6FA158D9">
            <w:pPr>
              <w:widowControl/>
              <w:spacing w:line="300" w:lineRule="exact"/>
              <w:jc w:val="center"/>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lang w:val="en-US" w:eastAsia="zh-CN"/>
              </w:rPr>
              <w:t>4</w:t>
            </w:r>
          </w:p>
        </w:tc>
        <w:tc>
          <w:tcPr>
            <w:tcW w:w="602" w:type="dxa"/>
            <w:tcBorders>
              <w:tl2br w:val="nil"/>
              <w:tr2bl w:val="nil"/>
            </w:tcBorders>
            <w:tcMar>
              <w:top w:w="15" w:type="dxa"/>
              <w:left w:w="15" w:type="dxa"/>
              <w:right w:w="15" w:type="dxa"/>
            </w:tcMar>
            <w:vAlign w:val="center"/>
          </w:tcPr>
          <w:p w14:paraId="102E7AF6">
            <w:pPr>
              <w:widowControl/>
              <w:spacing w:line="300" w:lineRule="exact"/>
              <w:jc w:val="center"/>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rPr>
              <w:t>农业</w:t>
            </w:r>
            <w:r>
              <w:rPr>
                <w:rFonts w:hint="default" w:ascii="Times New Roman" w:hAnsi="Times New Roman" w:eastAsia="方正仿宋_GBK" w:cs="Times New Roman"/>
                <w:color w:val="auto"/>
                <w:kern w:val="0"/>
                <w:szCs w:val="21"/>
                <w:lang w:eastAsia="zh-CN"/>
              </w:rPr>
              <w:t>经营主体能力提升</w:t>
            </w:r>
            <w:r>
              <w:rPr>
                <w:rFonts w:hint="default" w:ascii="Times New Roman" w:hAnsi="Times New Roman" w:eastAsia="方正仿宋_GBK" w:cs="Times New Roman"/>
                <w:color w:val="auto"/>
                <w:kern w:val="0"/>
                <w:szCs w:val="21"/>
              </w:rPr>
              <w:t>资金</w:t>
            </w:r>
          </w:p>
        </w:tc>
        <w:tc>
          <w:tcPr>
            <w:tcW w:w="1171" w:type="dxa"/>
            <w:tcBorders>
              <w:tl2br w:val="nil"/>
              <w:tr2bl w:val="nil"/>
            </w:tcBorders>
            <w:tcMar>
              <w:top w:w="15" w:type="dxa"/>
              <w:left w:w="15" w:type="dxa"/>
              <w:right w:w="15" w:type="dxa"/>
            </w:tcMar>
            <w:vAlign w:val="center"/>
          </w:tcPr>
          <w:p w14:paraId="06B1D56E">
            <w:pPr>
              <w:widowControl/>
              <w:spacing w:line="300" w:lineRule="exact"/>
              <w:jc w:val="center"/>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lang w:eastAsia="zh-CN"/>
              </w:rPr>
              <w:t>高素质</w:t>
            </w:r>
            <w:r>
              <w:rPr>
                <w:rFonts w:hint="default" w:ascii="Times New Roman" w:hAnsi="Times New Roman" w:eastAsia="方正仿宋_GBK" w:cs="Times New Roman"/>
                <w:color w:val="auto"/>
                <w:kern w:val="0"/>
                <w:szCs w:val="21"/>
              </w:rPr>
              <w:t>农民培育</w:t>
            </w:r>
          </w:p>
        </w:tc>
        <w:tc>
          <w:tcPr>
            <w:tcW w:w="2129" w:type="dxa"/>
            <w:tcBorders>
              <w:tl2br w:val="nil"/>
              <w:tr2bl w:val="nil"/>
            </w:tcBorders>
            <w:tcMar>
              <w:top w:w="15" w:type="dxa"/>
              <w:left w:w="15" w:type="dxa"/>
              <w:right w:w="15" w:type="dxa"/>
            </w:tcMar>
            <w:vAlign w:val="center"/>
          </w:tcPr>
          <w:p w14:paraId="6073E818">
            <w:pPr>
              <w:widowControl/>
              <w:spacing w:line="300" w:lineRule="exact"/>
              <w:jc w:val="lef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 xml:space="preserve">1.政策依据。    </w:t>
            </w:r>
          </w:p>
          <w:p w14:paraId="53C31C1B">
            <w:pPr>
              <w:widowControl/>
              <w:spacing w:line="300" w:lineRule="exact"/>
              <w:jc w:val="left"/>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rPr>
              <w:t>2.申请指南：补贴对象、补贴范围、补贴标准、申请程序、申请材料、咨询电话、受理单位等。</w:t>
            </w:r>
            <w:r>
              <w:rPr>
                <w:rFonts w:hint="default" w:ascii="Times New Roman" w:hAnsi="Times New Roman" w:eastAsia="方正仿宋_GBK" w:cs="Times New Roman"/>
                <w:color w:val="auto"/>
                <w:kern w:val="0"/>
                <w:szCs w:val="21"/>
              </w:rPr>
              <w:br w:type="textWrapping"/>
            </w:r>
            <w:r>
              <w:rPr>
                <w:rFonts w:hint="default" w:ascii="Times New Roman" w:hAnsi="Times New Roman" w:eastAsia="方正仿宋_GBK" w:cs="Times New Roman"/>
                <w:color w:val="auto"/>
                <w:kern w:val="0"/>
                <w:szCs w:val="21"/>
              </w:rPr>
              <w:t>3.补贴结果。</w:t>
            </w:r>
            <w:r>
              <w:rPr>
                <w:rFonts w:hint="default" w:ascii="Times New Roman" w:hAnsi="Times New Roman" w:eastAsia="方正仿宋_GBK" w:cs="Times New Roman"/>
                <w:color w:val="auto"/>
                <w:kern w:val="0"/>
                <w:szCs w:val="21"/>
              </w:rPr>
              <w:br w:type="textWrapping"/>
            </w:r>
            <w:r>
              <w:rPr>
                <w:rFonts w:hint="default" w:ascii="Times New Roman" w:hAnsi="Times New Roman" w:eastAsia="方正仿宋_GBK" w:cs="Times New Roman"/>
                <w:color w:val="auto"/>
                <w:kern w:val="0"/>
                <w:szCs w:val="21"/>
              </w:rPr>
              <w:t>4.监督渠道：举报电话、地址等。</w:t>
            </w:r>
          </w:p>
        </w:tc>
        <w:tc>
          <w:tcPr>
            <w:tcW w:w="3708" w:type="dxa"/>
            <w:tcBorders>
              <w:tl2br w:val="nil"/>
              <w:tr2bl w:val="nil"/>
            </w:tcBorders>
            <w:tcMar>
              <w:top w:w="15" w:type="dxa"/>
              <w:left w:w="15" w:type="dxa"/>
              <w:right w:w="15" w:type="dxa"/>
            </w:tcMar>
            <w:vAlign w:val="center"/>
          </w:tcPr>
          <w:p w14:paraId="0AD21ADE">
            <w:pPr>
              <w:widowControl/>
              <w:spacing w:line="300" w:lineRule="exact"/>
              <w:jc w:val="both"/>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rPr>
              <w:t>《财政部 农业农村部关于印发农业相关转移支付资金管理办法的通知》（财农〔202</w:t>
            </w:r>
            <w:r>
              <w:rPr>
                <w:rFonts w:hint="default" w:ascii="Times New Roman" w:hAnsi="Times New Roman" w:eastAsia="方正仿宋_GBK" w:cs="Times New Roman"/>
                <w:color w:val="auto"/>
                <w:kern w:val="0"/>
                <w:szCs w:val="21"/>
                <w:lang w:val="en-US" w:eastAsia="zh-CN"/>
              </w:rPr>
              <w:t>3</w:t>
            </w:r>
            <w:r>
              <w:rPr>
                <w:rFonts w:hint="default" w:ascii="Times New Roman" w:hAnsi="Times New Roman" w:eastAsia="方正仿宋_GBK" w:cs="Times New Roman"/>
                <w:color w:val="auto"/>
                <w:kern w:val="0"/>
                <w:szCs w:val="21"/>
              </w:rPr>
              <w:t>〕1</w:t>
            </w:r>
            <w:r>
              <w:rPr>
                <w:rFonts w:hint="default" w:ascii="Times New Roman" w:hAnsi="Times New Roman" w:eastAsia="方正仿宋_GBK" w:cs="Times New Roman"/>
                <w:color w:val="auto"/>
                <w:kern w:val="0"/>
                <w:szCs w:val="21"/>
                <w:lang w:val="en-US" w:eastAsia="zh-CN"/>
              </w:rPr>
              <w:t>1</w:t>
            </w:r>
            <w:r>
              <w:rPr>
                <w:rFonts w:hint="default" w:ascii="Times New Roman" w:hAnsi="Times New Roman" w:eastAsia="方正仿宋_GBK" w:cs="Times New Roman"/>
                <w:color w:val="auto"/>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14:paraId="732FEE30">
            <w:pPr>
              <w:widowControl/>
              <w:spacing w:line="300" w:lineRule="exact"/>
              <w:jc w:val="center"/>
              <w:rPr>
                <w:rFonts w:hint="default" w:ascii="Times New Roman" w:hAnsi="Times New Roman" w:eastAsia="宋体" w:cs="Times New Roman"/>
                <w:color w:val="auto"/>
                <w:kern w:val="0"/>
                <w:sz w:val="18"/>
                <w:szCs w:val="18"/>
              </w:rPr>
            </w:pPr>
            <w:r>
              <w:rPr>
                <w:rFonts w:hint="default" w:ascii="Times New Roman" w:hAnsi="Times New Roman" w:eastAsia="方正仿宋_GBK" w:cs="Times New Roman"/>
                <w:color w:val="auto"/>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22DDADE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邱彬</w:t>
            </w:r>
          </w:p>
        </w:tc>
        <w:tc>
          <w:tcPr>
            <w:tcW w:w="690" w:type="dxa"/>
            <w:tcBorders>
              <w:tl2br w:val="nil"/>
              <w:tr2bl w:val="nil"/>
            </w:tcBorders>
            <w:tcMar>
              <w:top w:w="15" w:type="dxa"/>
              <w:left w:w="15" w:type="dxa"/>
              <w:right w:w="15" w:type="dxa"/>
            </w:tcMar>
            <w:vAlign w:val="center"/>
          </w:tcPr>
          <w:p w14:paraId="4763747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877BF">
            <w:pPr>
              <w:overflowPunct w:val="0"/>
              <w:snapToGrid w:val="0"/>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val="0"/>
                <w:color w:val="auto"/>
                <w:kern w:val="0"/>
                <w:sz w:val="21"/>
                <w:szCs w:val="21"/>
                <w:lang w:val="en-US" w:eastAsia="zh-CN"/>
              </w:rPr>
              <w:t>兴隆</w:t>
            </w:r>
            <w:r>
              <w:rPr>
                <w:rFonts w:hint="eastAsia" w:ascii="方正仿宋_GBK" w:hAnsi="方正仿宋_GBK" w:eastAsia="方正仿宋_GBK" w:cs="方正仿宋_GBK"/>
                <w:b w:val="0"/>
                <w:color w:val="auto"/>
                <w:kern w:val="0"/>
                <w:sz w:val="21"/>
                <w:szCs w:val="21"/>
              </w:rPr>
              <w:t>镇人民政府</w:t>
            </w:r>
          </w:p>
        </w:tc>
        <w:tc>
          <w:tcPr>
            <w:tcW w:w="1394" w:type="dxa"/>
            <w:tcBorders>
              <w:tl2br w:val="nil"/>
              <w:tr2bl w:val="nil"/>
            </w:tcBorders>
            <w:tcMar>
              <w:top w:w="15" w:type="dxa"/>
              <w:left w:w="15" w:type="dxa"/>
              <w:right w:w="15" w:type="dxa"/>
            </w:tcMar>
            <w:vAlign w:val="center"/>
          </w:tcPr>
          <w:p w14:paraId="4E4B7EE6">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5FC14B0E">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5FA31AFB">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p>
        </w:tc>
        <w:tc>
          <w:tcPr>
            <w:tcW w:w="573" w:type="dxa"/>
            <w:tcBorders>
              <w:tl2br w:val="nil"/>
              <w:tr2bl w:val="nil"/>
            </w:tcBorders>
            <w:tcMar>
              <w:top w:w="15" w:type="dxa"/>
              <w:left w:w="15" w:type="dxa"/>
              <w:right w:w="15" w:type="dxa"/>
            </w:tcMar>
            <w:vAlign w:val="center"/>
          </w:tcPr>
          <w:p w14:paraId="48E6140D">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　</w:t>
            </w:r>
          </w:p>
        </w:tc>
        <w:tc>
          <w:tcPr>
            <w:tcW w:w="506" w:type="dxa"/>
            <w:tcBorders>
              <w:tl2br w:val="nil"/>
              <w:tr2bl w:val="nil"/>
            </w:tcBorders>
            <w:tcMar>
              <w:top w:w="15" w:type="dxa"/>
              <w:left w:w="15" w:type="dxa"/>
              <w:right w:w="15" w:type="dxa"/>
            </w:tcMar>
            <w:vAlign w:val="center"/>
          </w:tcPr>
          <w:p w14:paraId="4712B188">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p>
        </w:tc>
        <w:tc>
          <w:tcPr>
            <w:tcW w:w="557" w:type="dxa"/>
            <w:tcBorders>
              <w:tl2br w:val="nil"/>
              <w:tr2bl w:val="nil"/>
            </w:tcBorders>
            <w:tcMar>
              <w:top w:w="15" w:type="dxa"/>
              <w:left w:w="15" w:type="dxa"/>
              <w:right w:w="15" w:type="dxa"/>
            </w:tcMar>
            <w:vAlign w:val="center"/>
          </w:tcPr>
          <w:p w14:paraId="6FB73DE6">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　</w:t>
            </w:r>
          </w:p>
        </w:tc>
        <w:tc>
          <w:tcPr>
            <w:tcW w:w="534" w:type="dxa"/>
            <w:tcBorders>
              <w:tl2br w:val="nil"/>
              <w:tr2bl w:val="nil"/>
            </w:tcBorders>
            <w:tcMar>
              <w:top w:w="15" w:type="dxa"/>
              <w:left w:w="15" w:type="dxa"/>
              <w:right w:w="15" w:type="dxa"/>
            </w:tcMar>
            <w:vAlign w:val="center"/>
          </w:tcPr>
          <w:p w14:paraId="2839ED21">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　</w:t>
            </w:r>
          </w:p>
          <w:p w14:paraId="0F79B5CD">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w:t>
            </w:r>
          </w:p>
        </w:tc>
      </w:tr>
    </w:tbl>
    <w:p w14:paraId="71E62F8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71F"/>
    <w:rsid w:val="0052371F"/>
    <w:rsid w:val="01BC5231"/>
    <w:rsid w:val="0E1421A8"/>
    <w:rsid w:val="14CC73D7"/>
    <w:rsid w:val="17196E38"/>
    <w:rsid w:val="1A294B33"/>
    <w:rsid w:val="31204CAC"/>
    <w:rsid w:val="3F3F011D"/>
    <w:rsid w:val="4C761A0A"/>
    <w:rsid w:val="53601FA7"/>
    <w:rsid w:val="53A21024"/>
    <w:rsid w:val="5C895A76"/>
    <w:rsid w:val="5D2508FC"/>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1394</Words>
  <Characters>1470</Characters>
  <Lines>24</Lines>
  <Paragraphs>7</Paragraphs>
  <TotalTime>6</TotalTime>
  <ScaleCrop>false</ScaleCrop>
  <LinksUpToDate>false</LinksUpToDate>
  <CharactersWithSpaces>2674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2023-10-13T14:18:00Z</dcterms:created>
  <dc:creator>Administrator</dc:creator>
  <cp:lastModifiedBy>阿瑾</cp:lastModifiedBy>
  <dcterms:modified xsi:type="dcterms:W3CDTF">2026-01-21T03:07:40Z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eyJoZGlkIjoiNzQ4MmI1MWYwOTc3MzIyNDJlYmFlYzMwZDY4OTBhNjQiLCJ1c2VySWQiOiIzNDIzODE5OTEifQ==</vt:lpwstr>
  </property>
  <property fmtid="{D5CDD505-2E9C-101B-9397-08002B2CF9AE}" pid="4" name="ICV">
    <vt:lpwstr>E3B32DEB1C704B768C74AE14061E2E4E_13</vt:lpwstr>
  </property>
</Properties>
</file>