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D5" w:rsidRPr="00B278D5" w:rsidRDefault="00B278D5" w:rsidP="00B278D5">
      <w:pPr>
        <w:widowControl/>
        <w:shd w:val="clear" w:color="auto" w:fill="FFFFFF"/>
        <w:spacing w:after="300" w:line="480" w:lineRule="auto"/>
        <w:ind w:firstLine="48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t>附件1 </w:t>
      </w:r>
    </w:p>
    <w:p w:rsidR="00B278D5" w:rsidRPr="00B278D5" w:rsidRDefault="00B278D5" w:rsidP="00B278D5">
      <w:pPr>
        <w:widowControl/>
        <w:shd w:val="clear" w:color="auto" w:fill="FFFFFF"/>
        <w:spacing w:after="300" w:line="480" w:lineRule="auto"/>
        <w:jc w:val="center"/>
        <w:rPr>
          <w:rFonts w:ascii="微软雅黑" w:eastAsia="微软雅黑" w:hAnsi="微软雅黑" w:cs="宋体"/>
          <w:color w:val="333333"/>
          <w:kern w:val="0"/>
          <w:sz w:val="24"/>
          <w:szCs w:val="24"/>
        </w:rPr>
      </w:pPr>
      <w:r w:rsidRPr="00B278D5">
        <w:rPr>
          <w:rFonts w:ascii="宋体" w:eastAsia="宋体" w:hAnsi="宋体" w:cs="宋体" w:hint="eastAsia"/>
          <w:b/>
          <w:bCs/>
          <w:color w:val="333333"/>
          <w:kern w:val="0"/>
          <w:sz w:val="36"/>
        </w:rPr>
        <w:t>取消的行政许可事项目录 </w:t>
      </w:r>
    </w:p>
    <w:tbl>
      <w:tblPr>
        <w:tblW w:w="9570" w:type="dxa"/>
        <w:jc w:val="center"/>
        <w:tblCellSpacing w:w="15" w:type="dxa"/>
        <w:tblCellMar>
          <w:left w:w="0" w:type="dxa"/>
          <w:right w:w="0" w:type="dxa"/>
        </w:tblCellMar>
        <w:tblLook w:val="04A0"/>
      </w:tblPr>
      <w:tblGrid>
        <w:gridCol w:w="534"/>
        <w:gridCol w:w="1024"/>
        <w:gridCol w:w="1945"/>
        <w:gridCol w:w="902"/>
        <w:gridCol w:w="590"/>
        <w:gridCol w:w="4575"/>
      </w:tblGrid>
      <w:tr w:rsidR="00B278D5" w:rsidRPr="00B278D5" w:rsidTr="00B278D5">
        <w:trPr>
          <w:trHeight w:val="375"/>
          <w:tblCellSpacing w:w="15" w:type="dxa"/>
          <w:jc w:val="center"/>
        </w:trPr>
        <w:tc>
          <w:tcPr>
            <w:tcW w:w="48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序号</w:t>
            </w:r>
          </w:p>
        </w:tc>
        <w:tc>
          <w:tcPr>
            <w:tcW w:w="994"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事项名称</w:t>
            </w:r>
          </w:p>
        </w:tc>
        <w:tc>
          <w:tcPr>
            <w:tcW w:w="1915"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设定依据</w:t>
            </w:r>
          </w:p>
        </w:tc>
        <w:tc>
          <w:tcPr>
            <w:tcW w:w="872"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审批部门</w:t>
            </w:r>
          </w:p>
        </w:tc>
        <w:tc>
          <w:tcPr>
            <w:tcW w:w="560"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处理</w:t>
            </w:r>
          </w:p>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决定</w:t>
            </w:r>
          </w:p>
        </w:tc>
        <w:tc>
          <w:tcPr>
            <w:tcW w:w="4530"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加强事中事后监管措施</w:t>
            </w:r>
          </w:p>
        </w:tc>
      </w:tr>
      <w:tr w:rsidR="00B278D5" w:rsidRPr="00B278D5" w:rsidTr="00F35CA9">
        <w:trPr>
          <w:trHeight w:val="4336"/>
          <w:tblCellSpacing w:w="15" w:type="dxa"/>
          <w:jc w:val="center"/>
        </w:trPr>
        <w:tc>
          <w:tcPr>
            <w:tcW w:w="489"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00" w:lineRule="atLeast"/>
              <w:jc w:val="center"/>
              <w:rPr>
                <w:rFonts w:ascii="微软雅黑" w:eastAsia="微软雅黑" w:hAnsi="微软雅黑" w:cs="宋体"/>
                <w:color w:val="333333"/>
                <w:kern w:val="0"/>
                <w:szCs w:val="21"/>
              </w:rPr>
            </w:pPr>
            <w:r>
              <w:rPr>
                <w:rFonts w:ascii="宋体" w:eastAsia="宋体" w:hAnsi="宋体" w:cs="宋体" w:hint="eastAsia"/>
                <w:color w:val="333333"/>
                <w:kern w:val="0"/>
                <w:sz w:val="24"/>
                <w:szCs w:val="24"/>
              </w:rPr>
              <w:t>1</w:t>
            </w:r>
          </w:p>
        </w:tc>
        <w:tc>
          <w:tcPr>
            <w:tcW w:w="994"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0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船员注册及服务簿签发</w:t>
            </w:r>
          </w:p>
        </w:tc>
        <w:tc>
          <w:tcPr>
            <w:tcW w:w="191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0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《中华人民共和国船员条例》</w:t>
            </w:r>
          </w:p>
        </w:tc>
        <w:tc>
          <w:tcPr>
            <w:tcW w:w="872"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0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市交通局，区县交通部门</w:t>
            </w:r>
          </w:p>
        </w:tc>
        <w:tc>
          <w:tcPr>
            <w:tcW w:w="5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0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w:t>
            </w:r>
          </w:p>
        </w:tc>
        <w:tc>
          <w:tcPr>
            <w:tcW w:w="453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F35CA9">
            <w:pPr>
              <w:widowControl/>
              <w:spacing w:after="300" w:line="300" w:lineRule="atLeast"/>
              <w:jc w:val="left"/>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审批后，对通过船员适任证书核发审查的船员直接发放《船员服务簿》。交通部门通过以下措施加强事中事后监管：1．加强船员适任证书管理，厨师、服务员等不参加航行值班的船员纳入船员适任证书核发申请人员范围。2．对年满18周岁（在船实习、见习人员年满16周岁）、符合船员健康要求、经船员基本安全培训并通过海事管理机构考试者，在签发相应船员适任证书时，直接发放《船员服务簿》。3．新的《船员服务簿》作为船员个人持有的法定文书，主要承载船员档案功能，记录船员履职情况。加强船员持有《船员服务簿》和记录船员履职情况的监督检查。</w:t>
            </w:r>
          </w:p>
        </w:tc>
      </w:tr>
      <w:tr w:rsidR="00B278D5" w:rsidRPr="00B278D5" w:rsidTr="00F35CA9">
        <w:trPr>
          <w:trHeight w:val="2022"/>
          <w:tblCellSpacing w:w="15" w:type="dxa"/>
          <w:jc w:val="center"/>
        </w:trPr>
        <w:tc>
          <w:tcPr>
            <w:tcW w:w="489"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Pr>
                <w:rFonts w:ascii="宋体" w:eastAsia="宋体" w:hAnsi="宋体" w:cs="宋体" w:hint="eastAsia"/>
                <w:color w:val="333333"/>
                <w:kern w:val="0"/>
                <w:sz w:val="24"/>
                <w:szCs w:val="24"/>
              </w:rPr>
              <w:t>2</w:t>
            </w:r>
          </w:p>
        </w:tc>
        <w:tc>
          <w:tcPr>
            <w:tcW w:w="994"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国际道路货物运输许可</w:t>
            </w:r>
          </w:p>
        </w:tc>
        <w:tc>
          <w:tcPr>
            <w:tcW w:w="191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《中华人民共和国道路运输条例》</w:t>
            </w:r>
          </w:p>
        </w:tc>
        <w:tc>
          <w:tcPr>
            <w:tcW w:w="872"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市交通局</w:t>
            </w:r>
          </w:p>
        </w:tc>
        <w:tc>
          <w:tcPr>
            <w:tcW w:w="5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w:t>
            </w:r>
          </w:p>
        </w:tc>
        <w:tc>
          <w:tcPr>
            <w:tcW w:w="453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F35CA9">
            <w:pPr>
              <w:widowControl/>
              <w:spacing w:after="300" w:line="330" w:lineRule="atLeast"/>
              <w:jc w:val="left"/>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审批后，改为备案。交通部门会同有关部门通过以下措施加强事中事后监管：1．加强与海关、边检、交管等的信息共享和联合监管，加强对有关车辆的静态管理和动态监控。2．加强信用监管，落实企业主体责任，建立违法失信企业退出机制。</w:t>
            </w:r>
          </w:p>
        </w:tc>
      </w:tr>
      <w:tr w:rsidR="00B278D5" w:rsidRPr="00B278D5" w:rsidTr="00F35CA9">
        <w:trPr>
          <w:trHeight w:val="547"/>
          <w:tblCellSpacing w:w="15" w:type="dxa"/>
          <w:jc w:val="center"/>
        </w:trPr>
        <w:tc>
          <w:tcPr>
            <w:tcW w:w="489"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Pr>
                <w:rFonts w:ascii="宋体" w:eastAsia="宋体" w:hAnsi="宋体" w:cs="宋体" w:hint="eastAsia"/>
                <w:color w:val="333333"/>
                <w:kern w:val="0"/>
                <w:sz w:val="24"/>
                <w:szCs w:val="24"/>
              </w:rPr>
              <w:t>3</w:t>
            </w:r>
          </w:p>
        </w:tc>
        <w:tc>
          <w:tcPr>
            <w:tcW w:w="994"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spacing w:val="-15"/>
                <w:kern w:val="0"/>
                <w:sz w:val="24"/>
                <w:szCs w:val="24"/>
              </w:rPr>
              <w:t>道路货物运输站（场）经营许可</w:t>
            </w:r>
          </w:p>
        </w:tc>
        <w:tc>
          <w:tcPr>
            <w:tcW w:w="191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《中华人民共和国道路运输条例》</w:t>
            </w:r>
          </w:p>
        </w:tc>
        <w:tc>
          <w:tcPr>
            <w:tcW w:w="872"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区县交通部门</w:t>
            </w:r>
          </w:p>
        </w:tc>
        <w:tc>
          <w:tcPr>
            <w:tcW w:w="5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3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w:t>
            </w:r>
          </w:p>
        </w:tc>
        <w:tc>
          <w:tcPr>
            <w:tcW w:w="453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F35CA9">
            <w:pPr>
              <w:widowControl/>
              <w:spacing w:after="300" w:line="330" w:lineRule="atLeast"/>
              <w:jc w:val="left"/>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取消审批后，交通部门通过以下措施加强事中事后监管：1．通过“双随机、一公开”监管等方式，加强对道路货物运输站（场）生产经营的监督管理，依法查处违反道路货物运输经营管理规定的行为。2．实施道路货物运输站（场）相关标准，推动站（场）建设运营标准化。3．加强与市场监管、住房城乡建设、应急管理、公安等部门关于道路货物运输站（场）相关信息共享。4．加强对道路货物运输站（场）经营业户的信用</w:t>
            </w:r>
            <w:r w:rsidRPr="00B278D5">
              <w:rPr>
                <w:rFonts w:ascii="宋体" w:eastAsia="宋体" w:hAnsi="宋体" w:cs="宋体" w:hint="eastAsia"/>
                <w:color w:val="333333"/>
                <w:kern w:val="0"/>
                <w:sz w:val="24"/>
                <w:szCs w:val="24"/>
              </w:rPr>
              <w:lastRenderedPageBreak/>
              <w:t>监管，向社会公开失信企业名单，并实施联合惩戒。</w:t>
            </w:r>
          </w:p>
        </w:tc>
      </w:tr>
    </w:tbl>
    <w:p w:rsidR="00B278D5" w:rsidRPr="00B278D5" w:rsidRDefault="00B278D5" w:rsidP="00B278D5">
      <w:pPr>
        <w:widowControl/>
        <w:shd w:val="clear" w:color="auto" w:fill="FFFFFF"/>
        <w:spacing w:after="300" w:line="480" w:lineRule="auto"/>
        <w:ind w:firstLine="63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lastRenderedPageBreak/>
        <w:t> </w:t>
      </w:r>
    </w:p>
    <w:p w:rsidR="00B278D5" w:rsidRPr="00B278D5" w:rsidRDefault="00B278D5" w:rsidP="00B278D5">
      <w:pPr>
        <w:widowControl/>
        <w:shd w:val="clear" w:color="auto" w:fill="FFFFFF"/>
        <w:spacing w:after="300" w:line="480" w:lineRule="auto"/>
        <w:ind w:firstLine="48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t>附件2 </w:t>
      </w:r>
    </w:p>
    <w:p w:rsidR="00B278D5" w:rsidRPr="00B278D5" w:rsidRDefault="00B278D5" w:rsidP="00B278D5">
      <w:pPr>
        <w:widowControl/>
        <w:shd w:val="clear" w:color="auto" w:fill="FFFFFF"/>
        <w:spacing w:after="300" w:line="480" w:lineRule="auto"/>
        <w:jc w:val="center"/>
        <w:rPr>
          <w:rFonts w:ascii="微软雅黑" w:eastAsia="微软雅黑" w:hAnsi="微软雅黑" w:cs="宋体"/>
          <w:color w:val="333333"/>
          <w:kern w:val="0"/>
          <w:sz w:val="24"/>
          <w:szCs w:val="24"/>
        </w:rPr>
      </w:pPr>
      <w:r w:rsidRPr="00B278D5">
        <w:rPr>
          <w:rFonts w:ascii="宋体" w:eastAsia="宋体" w:hAnsi="宋体" w:cs="宋体" w:hint="eastAsia"/>
          <w:b/>
          <w:bCs/>
          <w:color w:val="333333"/>
          <w:kern w:val="0"/>
          <w:sz w:val="36"/>
        </w:rPr>
        <w:t>承接的行政许可事项目录 </w:t>
      </w:r>
    </w:p>
    <w:tbl>
      <w:tblPr>
        <w:tblW w:w="9525" w:type="dxa"/>
        <w:jc w:val="center"/>
        <w:tblCellSpacing w:w="15" w:type="dxa"/>
        <w:tblCellMar>
          <w:left w:w="0" w:type="dxa"/>
          <w:right w:w="0" w:type="dxa"/>
        </w:tblCellMar>
        <w:tblLook w:val="04A0"/>
      </w:tblPr>
      <w:tblGrid>
        <w:gridCol w:w="375"/>
        <w:gridCol w:w="1358"/>
        <w:gridCol w:w="1518"/>
        <w:gridCol w:w="906"/>
        <w:gridCol w:w="1060"/>
        <w:gridCol w:w="4308"/>
      </w:tblGrid>
      <w:tr w:rsidR="00B278D5" w:rsidRPr="00B278D5" w:rsidTr="00B278D5">
        <w:trPr>
          <w:trHeight w:val="375"/>
          <w:tblCellSpacing w:w="15" w:type="dxa"/>
          <w:jc w:val="center"/>
        </w:trPr>
        <w:tc>
          <w:tcPr>
            <w:tcW w:w="33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序号</w:t>
            </w:r>
          </w:p>
        </w:tc>
        <w:tc>
          <w:tcPr>
            <w:tcW w:w="1328"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项目名称</w:t>
            </w:r>
          </w:p>
        </w:tc>
        <w:tc>
          <w:tcPr>
            <w:tcW w:w="1488"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设定依据</w:t>
            </w:r>
          </w:p>
        </w:tc>
        <w:tc>
          <w:tcPr>
            <w:tcW w:w="876"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国家实</w:t>
            </w:r>
          </w:p>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施部门</w:t>
            </w:r>
          </w:p>
        </w:tc>
        <w:tc>
          <w:tcPr>
            <w:tcW w:w="1030"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我市承</w:t>
            </w:r>
          </w:p>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接部门</w:t>
            </w:r>
          </w:p>
        </w:tc>
        <w:tc>
          <w:tcPr>
            <w:tcW w:w="4263"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加强事中事后监管措施</w:t>
            </w:r>
          </w:p>
        </w:tc>
      </w:tr>
      <w:tr w:rsidR="00B278D5" w:rsidRPr="00B278D5" w:rsidTr="00B278D5">
        <w:trPr>
          <w:trHeight w:val="375"/>
          <w:tblCellSpacing w:w="15" w:type="dxa"/>
          <w:jc w:val="center"/>
        </w:trPr>
        <w:tc>
          <w:tcPr>
            <w:tcW w:w="330"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1</w:t>
            </w:r>
          </w:p>
        </w:tc>
        <w:tc>
          <w:tcPr>
            <w:tcW w:w="1328"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港口设施保安证书核发</w:t>
            </w:r>
          </w:p>
        </w:tc>
        <w:tc>
          <w:tcPr>
            <w:tcW w:w="1488"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《国务院对确需保留的行政审批项目设定行政许可的决定》</w:t>
            </w:r>
          </w:p>
        </w:tc>
        <w:tc>
          <w:tcPr>
            <w:tcW w:w="876"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交通运输部</w:t>
            </w:r>
          </w:p>
        </w:tc>
        <w:tc>
          <w:tcPr>
            <w:tcW w:w="103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市交通局</w:t>
            </w:r>
          </w:p>
        </w:tc>
        <w:tc>
          <w:tcPr>
            <w:tcW w:w="4263"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承接后，交通部门通过以下措施加强事中事后监管：1．执行交通运输部修订完善的港口设施保安规则和相关标准，统一规范港口设施保安工作，优化审批服务。2．依托有关信息系统，实现港口设施保安管理信息报送和共享，加强对港口设施保安工作的监管。</w:t>
            </w:r>
          </w:p>
        </w:tc>
      </w:tr>
    </w:tbl>
    <w:p w:rsidR="00B278D5" w:rsidRPr="00B278D5" w:rsidRDefault="00B278D5" w:rsidP="00B278D5">
      <w:pPr>
        <w:widowControl/>
        <w:shd w:val="clear" w:color="auto" w:fill="FFFFFF"/>
        <w:spacing w:after="300" w:line="480" w:lineRule="auto"/>
        <w:ind w:firstLine="63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t> </w:t>
      </w:r>
    </w:p>
    <w:p w:rsidR="00B278D5" w:rsidRPr="00B278D5" w:rsidRDefault="00B278D5" w:rsidP="00B278D5">
      <w:pPr>
        <w:widowControl/>
        <w:shd w:val="clear" w:color="auto" w:fill="FFFFFF"/>
        <w:spacing w:after="300" w:line="480" w:lineRule="auto"/>
        <w:ind w:firstLine="48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t>附件3 </w:t>
      </w:r>
    </w:p>
    <w:p w:rsidR="00B278D5" w:rsidRPr="00B278D5" w:rsidRDefault="00B278D5" w:rsidP="00B278D5">
      <w:pPr>
        <w:widowControl/>
        <w:shd w:val="clear" w:color="auto" w:fill="FFFFFF"/>
        <w:spacing w:after="300" w:line="480" w:lineRule="auto"/>
        <w:jc w:val="center"/>
        <w:rPr>
          <w:rFonts w:ascii="微软雅黑" w:eastAsia="微软雅黑" w:hAnsi="微软雅黑" w:cs="宋体"/>
          <w:color w:val="333333"/>
          <w:kern w:val="0"/>
          <w:sz w:val="24"/>
          <w:szCs w:val="24"/>
        </w:rPr>
      </w:pPr>
      <w:r w:rsidRPr="00B278D5">
        <w:rPr>
          <w:rFonts w:ascii="宋体" w:eastAsia="宋体" w:hAnsi="宋体" w:cs="宋体" w:hint="eastAsia"/>
          <w:b/>
          <w:bCs/>
          <w:color w:val="333333"/>
          <w:kern w:val="0"/>
          <w:sz w:val="36"/>
        </w:rPr>
        <w:t>下放的行政许可事项目录 </w:t>
      </w:r>
    </w:p>
    <w:tbl>
      <w:tblPr>
        <w:tblW w:w="9465" w:type="dxa"/>
        <w:jc w:val="center"/>
        <w:tblCellSpacing w:w="15" w:type="dxa"/>
        <w:tblCellMar>
          <w:left w:w="0" w:type="dxa"/>
          <w:right w:w="0" w:type="dxa"/>
        </w:tblCellMar>
        <w:tblLook w:val="04A0"/>
      </w:tblPr>
      <w:tblGrid>
        <w:gridCol w:w="418"/>
        <w:gridCol w:w="917"/>
        <w:gridCol w:w="928"/>
        <w:gridCol w:w="928"/>
        <w:gridCol w:w="814"/>
        <w:gridCol w:w="1329"/>
        <w:gridCol w:w="4131"/>
      </w:tblGrid>
      <w:tr w:rsidR="00B278D5" w:rsidRPr="00B278D5" w:rsidTr="00B278D5">
        <w:trPr>
          <w:trHeight w:val="375"/>
          <w:tblCellSpacing w:w="15" w:type="dxa"/>
          <w:jc w:val="center"/>
        </w:trPr>
        <w:tc>
          <w:tcPr>
            <w:tcW w:w="3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序号</w:t>
            </w:r>
          </w:p>
        </w:tc>
        <w:tc>
          <w:tcPr>
            <w:tcW w:w="887"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项目名称</w:t>
            </w:r>
          </w:p>
        </w:tc>
        <w:tc>
          <w:tcPr>
            <w:tcW w:w="898"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设定依据</w:t>
            </w:r>
          </w:p>
        </w:tc>
        <w:tc>
          <w:tcPr>
            <w:tcW w:w="898"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现实施</w:t>
            </w:r>
          </w:p>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主体</w:t>
            </w:r>
          </w:p>
        </w:tc>
        <w:tc>
          <w:tcPr>
            <w:tcW w:w="784"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下放实</w:t>
            </w:r>
          </w:p>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施主体</w:t>
            </w:r>
          </w:p>
        </w:tc>
        <w:tc>
          <w:tcPr>
            <w:tcW w:w="1299"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下放权限</w:t>
            </w:r>
          </w:p>
        </w:tc>
        <w:tc>
          <w:tcPr>
            <w:tcW w:w="4086"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加强事中事后监管措施</w:t>
            </w:r>
          </w:p>
        </w:tc>
      </w:tr>
      <w:tr w:rsidR="00B278D5" w:rsidRPr="00B278D5" w:rsidTr="00B278D5">
        <w:trPr>
          <w:trHeight w:val="375"/>
          <w:tblCellSpacing w:w="15" w:type="dxa"/>
          <w:jc w:val="center"/>
        </w:trPr>
        <w:tc>
          <w:tcPr>
            <w:tcW w:w="373"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lastRenderedPageBreak/>
              <w:t>1</w:t>
            </w:r>
          </w:p>
        </w:tc>
        <w:tc>
          <w:tcPr>
            <w:tcW w:w="887"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主城区以外毗邻区县行政区域间道路旅客运输经营许可</w:t>
            </w:r>
          </w:p>
        </w:tc>
        <w:tc>
          <w:tcPr>
            <w:tcW w:w="898"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《中华人民共和国道路运输条例》</w:t>
            </w:r>
          </w:p>
        </w:tc>
        <w:tc>
          <w:tcPr>
            <w:tcW w:w="898"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市级交通部门（重庆市道路运输管理局）</w:t>
            </w:r>
          </w:p>
        </w:tc>
        <w:tc>
          <w:tcPr>
            <w:tcW w:w="784"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区县交通部门</w:t>
            </w:r>
          </w:p>
        </w:tc>
        <w:tc>
          <w:tcPr>
            <w:tcW w:w="1299"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部分下放，主城区以外毗邻区县行政区域间道路旅客运输经营许可下放至区县交通部门。</w:t>
            </w:r>
          </w:p>
        </w:tc>
        <w:tc>
          <w:tcPr>
            <w:tcW w:w="4086"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rsidR="00B278D5" w:rsidRPr="00B278D5" w:rsidRDefault="00B278D5" w:rsidP="00B278D5">
            <w:pPr>
              <w:widowControl/>
              <w:spacing w:after="300" w:line="390" w:lineRule="atLeast"/>
              <w:jc w:val="center"/>
              <w:rPr>
                <w:rFonts w:ascii="微软雅黑" w:eastAsia="微软雅黑" w:hAnsi="微软雅黑" w:cs="宋体"/>
                <w:color w:val="333333"/>
                <w:kern w:val="0"/>
                <w:szCs w:val="21"/>
              </w:rPr>
            </w:pPr>
            <w:r w:rsidRPr="00B278D5">
              <w:rPr>
                <w:rFonts w:ascii="宋体" w:eastAsia="宋体" w:hAnsi="宋体" w:cs="宋体" w:hint="eastAsia"/>
                <w:color w:val="333333"/>
                <w:kern w:val="0"/>
                <w:sz w:val="24"/>
                <w:szCs w:val="24"/>
              </w:rPr>
              <w:t>通过以下措施加强事中事后监管：1．强化行业行政许可信息共享，许可实施机关及时将许可情况推送至上级交通部门，并在本级道路运政管理信息系统及时更新行政许可信息，逐级上传至部级系统。2．指导区县交通部门督促企业健全道路旅客运输安全管理制度，完善安全生产制度、安全生产操作规程和安全事故应急处置制度，强化安全隐患排查治理，切实落实企业安全生产主体责任。3．加强车辆动态监督管理，发挥全国重点营运车辆联网联控系统等平台作用，强化车辆运行监管，及时发现和消除事故隐患。4．加强执法监督，通过“双随机、一公开”等方式，加强对道路旅客运输经营活动的监督检查，依法处罚违法行为。5．加强信用监管，建立健全道路运输企业质量信誉考核制度，强化考核结果应用。6．完善服务质量投诉监督机制，充分发挥“12328”交通运输服务监督电话作用，畅通道路旅客运输服务质量投诉渠道，及时处理服务质量投诉案件。7．加强辖区内交通部门履职情况的监督检查，及时纠正问题。</w:t>
            </w:r>
          </w:p>
        </w:tc>
      </w:tr>
    </w:tbl>
    <w:p w:rsidR="00B278D5" w:rsidRPr="00B278D5" w:rsidRDefault="00B278D5" w:rsidP="00B278D5">
      <w:pPr>
        <w:widowControl/>
        <w:shd w:val="clear" w:color="auto" w:fill="FFFFFF"/>
        <w:spacing w:after="300" w:line="480" w:lineRule="auto"/>
        <w:ind w:firstLine="630"/>
        <w:jc w:val="left"/>
        <w:rPr>
          <w:rFonts w:ascii="微软雅黑" w:eastAsia="微软雅黑" w:hAnsi="微软雅黑" w:cs="宋体"/>
          <w:color w:val="333333"/>
          <w:kern w:val="0"/>
          <w:sz w:val="24"/>
          <w:szCs w:val="24"/>
        </w:rPr>
      </w:pPr>
      <w:r w:rsidRPr="00B278D5">
        <w:rPr>
          <w:rFonts w:ascii="宋体" w:eastAsia="宋体" w:hAnsi="宋体" w:cs="宋体" w:hint="eastAsia"/>
          <w:color w:val="333333"/>
          <w:kern w:val="0"/>
          <w:sz w:val="24"/>
          <w:szCs w:val="24"/>
        </w:rPr>
        <w:t> </w:t>
      </w:r>
    </w:p>
    <w:p w:rsidR="00553718" w:rsidRPr="00B278D5" w:rsidRDefault="00553718" w:rsidP="00B278D5"/>
    <w:sectPr w:rsidR="00553718" w:rsidRPr="00B278D5" w:rsidSect="00277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6A" w:rsidRDefault="0026796A" w:rsidP="00B278D5">
      <w:r>
        <w:separator/>
      </w:r>
    </w:p>
  </w:endnote>
  <w:endnote w:type="continuationSeparator" w:id="1">
    <w:p w:rsidR="0026796A" w:rsidRDefault="0026796A" w:rsidP="00B27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6A" w:rsidRDefault="0026796A" w:rsidP="00B278D5">
      <w:r>
        <w:separator/>
      </w:r>
    </w:p>
  </w:footnote>
  <w:footnote w:type="continuationSeparator" w:id="1">
    <w:p w:rsidR="0026796A" w:rsidRDefault="0026796A" w:rsidP="00B27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8D5"/>
    <w:rsid w:val="0026796A"/>
    <w:rsid w:val="0027756C"/>
    <w:rsid w:val="00553718"/>
    <w:rsid w:val="00B278D5"/>
    <w:rsid w:val="00C376C9"/>
    <w:rsid w:val="00F35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8D5"/>
    <w:rPr>
      <w:sz w:val="18"/>
      <w:szCs w:val="18"/>
    </w:rPr>
  </w:style>
  <w:style w:type="paragraph" w:styleId="a4">
    <w:name w:val="footer"/>
    <w:basedOn w:val="a"/>
    <w:link w:val="Char0"/>
    <w:uiPriority w:val="99"/>
    <w:semiHidden/>
    <w:unhideWhenUsed/>
    <w:rsid w:val="00B27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8D5"/>
    <w:rPr>
      <w:sz w:val="18"/>
      <w:szCs w:val="18"/>
    </w:rPr>
  </w:style>
  <w:style w:type="character" w:styleId="a5">
    <w:name w:val="Strong"/>
    <w:basedOn w:val="a0"/>
    <w:uiPriority w:val="22"/>
    <w:qFormat/>
    <w:rsid w:val="00B278D5"/>
    <w:rPr>
      <w:b/>
      <w:bCs/>
    </w:rPr>
  </w:style>
</w:styles>
</file>

<file path=word/webSettings.xml><?xml version="1.0" encoding="utf-8"?>
<w:webSettings xmlns:r="http://schemas.openxmlformats.org/officeDocument/2006/relationships" xmlns:w="http://schemas.openxmlformats.org/wordprocessingml/2006/main">
  <w:divs>
    <w:div w:id="1360280640">
      <w:bodyDiv w:val="1"/>
      <w:marLeft w:val="0"/>
      <w:marRight w:val="0"/>
      <w:marTop w:val="0"/>
      <w:marBottom w:val="0"/>
      <w:divBdr>
        <w:top w:val="none" w:sz="0" w:space="0" w:color="auto"/>
        <w:left w:val="none" w:sz="0" w:space="0" w:color="auto"/>
        <w:bottom w:val="none" w:sz="0" w:space="0" w:color="auto"/>
        <w:right w:val="none" w:sz="0" w:space="0" w:color="auto"/>
      </w:divBdr>
      <w:divsChild>
        <w:div w:id="1605457007">
          <w:marLeft w:val="0"/>
          <w:marRight w:val="0"/>
          <w:marTop w:val="0"/>
          <w:marBottom w:val="0"/>
          <w:divBdr>
            <w:top w:val="none" w:sz="0" w:space="0" w:color="auto"/>
            <w:left w:val="none" w:sz="0" w:space="0" w:color="auto"/>
            <w:bottom w:val="none" w:sz="0" w:space="0" w:color="auto"/>
            <w:right w:val="none" w:sz="0" w:space="0" w:color="auto"/>
          </w:divBdr>
          <w:divsChild>
            <w:div w:id="796146651">
              <w:marLeft w:val="0"/>
              <w:marRight w:val="0"/>
              <w:marTop w:val="240"/>
              <w:marBottom w:val="0"/>
              <w:divBdr>
                <w:top w:val="single" w:sz="6" w:space="0" w:color="BFBFBF"/>
                <w:left w:val="single" w:sz="6" w:space="0" w:color="BFBFBF"/>
                <w:bottom w:val="single" w:sz="6" w:space="0" w:color="BFBFBF"/>
                <w:right w:val="single" w:sz="6" w:space="0" w:color="BFBFBF"/>
              </w:divBdr>
              <w:divsChild>
                <w:div w:id="1111431951">
                  <w:marLeft w:val="0"/>
                  <w:marRight w:val="0"/>
                  <w:marTop w:val="0"/>
                  <w:marBottom w:val="0"/>
                  <w:divBdr>
                    <w:top w:val="none" w:sz="0" w:space="0" w:color="auto"/>
                    <w:left w:val="none" w:sz="0" w:space="0" w:color="auto"/>
                    <w:bottom w:val="none" w:sz="0" w:space="0" w:color="auto"/>
                    <w:right w:val="none" w:sz="0" w:space="0" w:color="auto"/>
                  </w:divBdr>
                  <w:divsChild>
                    <w:div w:id="629359442">
                      <w:marLeft w:val="0"/>
                      <w:marRight w:val="0"/>
                      <w:marTop w:val="375"/>
                      <w:marBottom w:val="0"/>
                      <w:divBdr>
                        <w:top w:val="none" w:sz="0" w:space="0" w:color="auto"/>
                        <w:left w:val="none" w:sz="0" w:space="0" w:color="auto"/>
                        <w:bottom w:val="none" w:sz="0" w:space="0" w:color="auto"/>
                        <w:right w:val="none" w:sz="0" w:space="0" w:color="auto"/>
                      </w:divBdr>
                      <w:divsChild>
                        <w:div w:id="193616973">
                          <w:marLeft w:val="0"/>
                          <w:marRight w:val="0"/>
                          <w:marTop w:val="0"/>
                          <w:marBottom w:val="0"/>
                          <w:divBdr>
                            <w:top w:val="none" w:sz="0" w:space="0" w:color="auto"/>
                            <w:left w:val="none" w:sz="0" w:space="0" w:color="auto"/>
                            <w:bottom w:val="none" w:sz="0" w:space="0" w:color="auto"/>
                            <w:right w:val="none" w:sz="0" w:space="0" w:color="auto"/>
                          </w:divBdr>
                          <w:divsChild>
                            <w:div w:id="140385238">
                              <w:marLeft w:val="0"/>
                              <w:marRight w:val="0"/>
                              <w:marTop w:val="0"/>
                              <w:marBottom w:val="0"/>
                              <w:divBdr>
                                <w:top w:val="single" w:sz="6" w:space="0" w:color="F8F8F8"/>
                                <w:left w:val="single" w:sz="6" w:space="0" w:color="F8F8F8"/>
                                <w:bottom w:val="single" w:sz="6" w:space="0" w:color="F8F8F8"/>
                                <w:right w:val="single" w:sz="6" w:space="0" w:color="F8F8F8"/>
                              </w:divBdr>
                            </w:div>
                            <w:div w:id="1698847091">
                              <w:marLeft w:val="0"/>
                              <w:marRight w:val="0"/>
                              <w:marTop w:val="0"/>
                              <w:marBottom w:val="0"/>
                              <w:divBdr>
                                <w:top w:val="single" w:sz="6" w:space="0" w:color="F8F8F8"/>
                                <w:left w:val="single" w:sz="6" w:space="0" w:color="F8F8F8"/>
                                <w:bottom w:val="single" w:sz="6" w:space="0" w:color="F8F8F8"/>
                                <w:right w:val="single" w:sz="6" w:space="0" w:color="F8F8F8"/>
                              </w:divBdr>
                            </w:div>
                            <w:div w:id="826171202">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236</Words>
  <Characters>1347</Characters>
  <Application>Microsoft Office Word</Application>
  <DocSecurity>0</DocSecurity>
  <Lines>11</Lines>
  <Paragraphs>3</Paragraphs>
  <ScaleCrop>false</ScaleCrop>
  <Company>微软中国</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2019-04-24T07:17:00Z</dcterms:created>
  <dcterms:modified xsi:type="dcterms:W3CDTF">2021-01-15T09:16:00Z</dcterms:modified>
</cp:coreProperties>
</file>