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D4C37">
      <w:pPr>
        <w:pStyle w:val="9"/>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40" w:lineRule="exact"/>
        <w:ind w:left="0" w:right="0"/>
        <w:jc w:val="both"/>
        <w:textAlignment w:val="auto"/>
        <w:rPr>
          <w:lang w:val="en-US"/>
        </w:rPr>
      </w:pPr>
    </w:p>
    <w:p w14:paraId="12319236">
      <w:pPr>
        <w:pStyle w:val="9"/>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40" w:lineRule="exact"/>
        <w:ind w:left="0" w:right="0"/>
        <w:jc w:val="both"/>
        <w:textAlignment w:val="auto"/>
        <w:rPr>
          <w:lang w:val="en-US"/>
        </w:rPr>
      </w:pPr>
    </w:p>
    <w:p w14:paraId="52D00179">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jc w:val="center"/>
        <w:textAlignment w:val="auto"/>
        <w:rPr>
          <w:rFonts w:eastAsia="方正小标宋_GBK"/>
          <w:sz w:val="44"/>
          <w:szCs w:val="44"/>
          <w:lang w:val="en-US"/>
        </w:rPr>
      </w:pPr>
      <w:r>
        <w:rPr>
          <w:rFonts w:hint="eastAsia" w:ascii="Times New Roman" w:hAnsi="方正小标宋_GBK" w:eastAsia="方正小标宋_GBK" w:cs="方正小标宋_GBK"/>
          <w:kern w:val="2"/>
          <w:sz w:val="44"/>
          <w:szCs w:val="44"/>
          <w:lang w:val="en-US" w:eastAsia="zh-CN" w:bidi="ar"/>
        </w:rPr>
        <w:t>重庆市南川区人民政府办公室</w:t>
      </w:r>
    </w:p>
    <w:p w14:paraId="67ACF896">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jc w:val="center"/>
        <w:textAlignment w:val="auto"/>
        <w:rPr>
          <w:rFonts w:eastAsia="方正小标宋_GBK"/>
          <w:sz w:val="44"/>
          <w:szCs w:val="44"/>
          <w:lang w:val="en-US"/>
        </w:rPr>
      </w:pPr>
      <w:r>
        <w:rPr>
          <w:rFonts w:hint="eastAsia" w:ascii="Times New Roman" w:hAnsi="方正小标宋_GBK" w:eastAsia="方正小标宋_GBK" w:cs="方正小标宋_GBK"/>
          <w:kern w:val="2"/>
          <w:sz w:val="44"/>
          <w:szCs w:val="44"/>
          <w:lang w:val="en-US" w:eastAsia="zh-CN" w:bidi="ar"/>
        </w:rPr>
        <w:t>关于印发南川中心城区停车治理实施方案的</w:t>
      </w:r>
    </w:p>
    <w:p w14:paraId="4556DBC3">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jc w:val="center"/>
        <w:textAlignment w:val="auto"/>
        <w:rPr>
          <w:rFonts w:eastAsia="方正小标宋_GBK"/>
          <w:sz w:val="44"/>
          <w:szCs w:val="44"/>
          <w:lang w:val="en-US"/>
        </w:rPr>
      </w:pPr>
      <w:r>
        <w:rPr>
          <w:rFonts w:hint="eastAsia" w:ascii="Times New Roman" w:hAnsi="方正小标宋_GBK" w:eastAsia="方正小标宋_GBK" w:cs="方正小标宋_GBK"/>
          <w:kern w:val="2"/>
          <w:sz w:val="44"/>
          <w:szCs w:val="44"/>
          <w:lang w:val="en-US" w:eastAsia="zh-CN" w:bidi="ar"/>
        </w:rPr>
        <w:t>通</w:t>
      </w:r>
      <w:r>
        <w:rPr>
          <w:rFonts w:hint="default" w:ascii="Times New Roman" w:hAnsi="Times New Roman" w:eastAsia="方正小标宋_GBK" w:cs="Times New Roman"/>
          <w:kern w:val="2"/>
          <w:sz w:val="44"/>
          <w:szCs w:val="44"/>
          <w:lang w:val="en-US" w:eastAsia="zh-CN" w:bidi="ar"/>
        </w:rPr>
        <w:t xml:space="preserve">  </w:t>
      </w:r>
      <w:r>
        <w:rPr>
          <w:rFonts w:hint="eastAsia" w:ascii="Times New Roman" w:hAnsi="方正小标宋_GBK" w:eastAsia="方正小标宋_GBK" w:cs="方正小标宋_GBK"/>
          <w:kern w:val="2"/>
          <w:sz w:val="44"/>
          <w:szCs w:val="44"/>
          <w:lang w:val="en-US" w:eastAsia="zh-CN" w:bidi="ar"/>
        </w:rPr>
        <w:t>知</w:t>
      </w:r>
    </w:p>
    <w:p w14:paraId="7E149F71">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2400" w:firstLineChars="750"/>
        <w:jc w:val="both"/>
        <w:textAlignment w:val="auto"/>
        <w:rPr>
          <w:bCs/>
          <w:color w:val="000000"/>
          <w:lang w:val="en-US"/>
        </w:rPr>
      </w:pPr>
      <w:r>
        <w:rPr>
          <w:rFonts w:hint="eastAsia" w:ascii="Times New Roman" w:hAnsi="方正仿宋_GBK" w:eastAsia="方正仿宋_GBK" w:cs="方正仿宋_GBK"/>
          <w:bCs/>
          <w:color w:val="000000"/>
          <w:kern w:val="2"/>
          <w:sz w:val="32"/>
          <w:szCs w:val="20"/>
          <w:lang w:val="en-US" w:eastAsia="zh-CN" w:bidi="ar"/>
        </w:rPr>
        <w:t>南川府办发〔</w:t>
      </w:r>
      <w:r>
        <w:rPr>
          <w:rFonts w:hint="default" w:ascii="Times New Roman" w:hAnsi="Times New Roman" w:eastAsia="方正仿宋_GBK" w:cs="Times New Roman"/>
          <w:bCs/>
          <w:color w:val="000000"/>
          <w:kern w:val="2"/>
          <w:sz w:val="32"/>
          <w:szCs w:val="20"/>
          <w:lang w:val="en-US" w:eastAsia="zh-CN" w:bidi="ar"/>
        </w:rPr>
        <w:t>2022</w:t>
      </w:r>
      <w:r>
        <w:rPr>
          <w:rFonts w:hint="eastAsia" w:ascii="Times New Roman" w:hAnsi="方正仿宋_GBK" w:eastAsia="方正仿宋_GBK" w:cs="方正仿宋_GBK"/>
          <w:bCs/>
          <w:color w:val="000000"/>
          <w:kern w:val="2"/>
          <w:sz w:val="32"/>
          <w:szCs w:val="20"/>
          <w:lang w:val="en-US" w:eastAsia="zh-CN" w:bidi="ar"/>
        </w:rPr>
        <w:t>〕</w:t>
      </w:r>
      <w:r>
        <w:rPr>
          <w:rFonts w:hint="default" w:ascii="Times New Roman" w:hAnsi="Times New Roman" w:eastAsia="方正仿宋_GBK" w:cs="Times New Roman"/>
          <w:bCs/>
          <w:color w:val="000000"/>
          <w:kern w:val="2"/>
          <w:sz w:val="32"/>
          <w:szCs w:val="20"/>
          <w:lang w:val="en-US" w:eastAsia="zh-CN" w:bidi="ar"/>
        </w:rPr>
        <w:t>14</w:t>
      </w:r>
      <w:r>
        <w:rPr>
          <w:rFonts w:hint="eastAsia" w:ascii="Times New Roman" w:hAnsi="方正仿宋_GBK" w:eastAsia="方正仿宋_GBK" w:cs="方正仿宋_GBK"/>
          <w:bCs/>
          <w:color w:val="000000"/>
          <w:kern w:val="2"/>
          <w:sz w:val="32"/>
          <w:szCs w:val="20"/>
          <w:lang w:val="en-US" w:eastAsia="zh-CN" w:bidi="ar"/>
        </w:rPr>
        <w:t>号</w:t>
      </w:r>
    </w:p>
    <w:p w14:paraId="6EA0DDC9">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left"/>
        <w:textAlignment w:val="auto"/>
        <w:rPr>
          <w:szCs w:val="32"/>
          <w:lang w:val="en-US"/>
        </w:rPr>
      </w:pPr>
    </w:p>
    <w:p w14:paraId="0ACA28A8">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left"/>
        <w:textAlignment w:val="auto"/>
        <w:rPr>
          <w:szCs w:val="32"/>
          <w:lang w:val="en-US"/>
        </w:rPr>
      </w:pPr>
      <w:r>
        <w:rPr>
          <w:rFonts w:hint="eastAsia" w:ascii="Times New Roman" w:hAnsi="方正仿宋_GBK" w:eastAsia="方正仿宋_GBK" w:cs="方正仿宋_GBK"/>
          <w:kern w:val="2"/>
          <w:sz w:val="32"/>
          <w:szCs w:val="32"/>
          <w:lang w:val="en-US" w:eastAsia="zh-CN" w:bidi="ar"/>
        </w:rPr>
        <w:t>各乡镇人民政府、街道办事处，区政府各部门，有关单位：</w:t>
      </w:r>
    </w:p>
    <w:p w14:paraId="6486B2F1">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640" w:firstLineChars="200"/>
        <w:jc w:val="left"/>
        <w:textAlignment w:val="auto"/>
        <w:rPr>
          <w:szCs w:val="32"/>
          <w:lang w:val="en-US"/>
        </w:rPr>
      </w:pPr>
      <w:r>
        <w:rPr>
          <w:rFonts w:hint="eastAsia" w:ascii="Times New Roman" w:hAnsi="方正仿宋_GBK" w:eastAsia="方正仿宋_GBK" w:cs="方正仿宋_GBK"/>
          <w:kern w:val="2"/>
          <w:sz w:val="32"/>
          <w:szCs w:val="32"/>
          <w:lang w:val="en-US" w:eastAsia="zh-CN" w:bidi="ar"/>
        </w:rPr>
        <w:t>《南川中心城区停车治理实施方案》已经区政府同意，现印发给你们，请认真贯彻执行。</w:t>
      </w:r>
    </w:p>
    <w:p w14:paraId="7852EFAB">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left"/>
        <w:textAlignment w:val="auto"/>
        <w:rPr>
          <w:szCs w:val="32"/>
          <w:lang w:val="en-US"/>
        </w:rPr>
      </w:pPr>
    </w:p>
    <w:p w14:paraId="2EAF7A6A">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left"/>
        <w:textAlignment w:val="auto"/>
        <w:rPr>
          <w:szCs w:val="32"/>
          <w:lang w:val="en-US"/>
        </w:rPr>
      </w:pPr>
    </w:p>
    <w:p w14:paraId="1988B939">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left"/>
        <w:textAlignment w:val="auto"/>
        <w:rPr>
          <w:szCs w:val="32"/>
          <w:lang w:val="en-US"/>
        </w:rPr>
      </w:pPr>
    </w:p>
    <w:p w14:paraId="7F164635">
      <w:pPr>
        <w:keepNext w:val="0"/>
        <w:keepLines w:val="0"/>
        <w:pageBreakBefore w:val="0"/>
        <w:widowControl/>
        <w:suppressLineNumbers w:val="0"/>
        <w:kinsoku/>
        <w:wordWrap w:val="0"/>
        <w:overflowPunct/>
        <w:topLinePunct w:val="0"/>
        <w:bidi w:val="0"/>
        <w:spacing w:before="0" w:beforeAutospacing="0" w:after="0" w:afterAutospacing="0" w:line="600" w:lineRule="exact"/>
        <w:ind w:left="0" w:right="0"/>
        <w:jc w:val="right"/>
        <w:textAlignment w:val="auto"/>
        <w:rPr>
          <w:rFonts w:hint="default"/>
          <w:szCs w:val="32"/>
          <w:lang w:val="en-US"/>
        </w:rPr>
      </w:pPr>
      <w:r>
        <w:rPr>
          <w:rFonts w:hint="default" w:ascii="Times New Roman" w:hAnsi="Times New Roman" w:eastAsia="方正仿宋_GBK" w:cs="Times New Roman"/>
          <w:kern w:val="2"/>
          <w:sz w:val="32"/>
          <w:szCs w:val="32"/>
          <w:lang w:val="en-US" w:eastAsia="zh-CN" w:bidi="ar"/>
        </w:rPr>
        <w:t xml:space="preserve">                   </w:t>
      </w:r>
      <w:r>
        <w:rPr>
          <w:rFonts w:hint="eastAsia" w:ascii="Times New Roman" w:hAnsi="方正仿宋_GBK" w:eastAsia="方正仿宋_GBK" w:cs="方正仿宋_GBK"/>
          <w:kern w:val="2"/>
          <w:sz w:val="32"/>
          <w:szCs w:val="32"/>
          <w:lang w:val="en-US" w:eastAsia="zh-CN" w:bidi="ar"/>
        </w:rPr>
        <w:t xml:space="preserve">重庆市南川区人民政府办公室  </w:t>
      </w:r>
    </w:p>
    <w:p w14:paraId="69EDB460">
      <w:pPr>
        <w:keepNext w:val="0"/>
        <w:keepLines w:val="0"/>
        <w:pageBreakBefore w:val="0"/>
        <w:widowControl/>
        <w:suppressLineNumbers w:val="0"/>
        <w:kinsoku/>
        <w:wordWrap w:val="0"/>
        <w:overflowPunct/>
        <w:topLinePunct w:val="0"/>
        <w:bidi w:val="0"/>
        <w:spacing w:before="0" w:beforeAutospacing="0" w:after="0" w:afterAutospacing="0" w:line="600" w:lineRule="exact"/>
        <w:ind w:left="0" w:right="480"/>
        <w:jc w:val="right"/>
        <w:textAlignment w:val="auto"/>
        <w:rPr>
          <w:rFonts w:hint="default" w:eastAsia="方正仿宋_GBK"/>
          <w:szCs w:val="32"/>
          <w:lang w:val="en-US" w:eastAsia="zh-CN"/>
        </w:rPr>
      </w:pPr>
      <w:r>
        <w:rPr>
          <w:rFonts w:hint="default" w:ascii="Times New Roman" w:hAnsi="Times New Roman" w:eastAsia="方正仿宋_GBK" w:cs="Times New Roman"/>
          <w:kern w:val="2"/>
          <w:sz w:val="32"/>
          <w:szCs w:val="32"/>
          <w:lang w:val="en-US" w:eastAsia="zh-CN" w:bidi="ar"/>
        </w:rPr>
        <w:t>2022</w:t>
      </w:r>
      <w:r>
        <w:rPr>
          <w:rFonts w:hint="eastAsia" w:ascii="Times New Roman"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5</w:t>
      </w:r>
      <w:r>
        <w:rPr>
          <w:rFonts w:hint="eastAsia" w:ascii="Times New Roman" w:hAnsi="方正仿宋_GBK"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5</w:t>
      </w:r>
      <w:r>
        <w:rPr>
          <w:rFonts w:hint="eastAsia" w:ascii="Times New Roman" w:hAnsi="方正仿宋_GBK" w:eastAsia="方正仿宋_GBK" w:cs="方正仿宋_GBK"/>
          <w:kern w:val="2"/>
          <w:sz w:val="32"/>
          <w:szCs w:val="32"/>
          <w:lang w:val="en-US" w:eastAsia="zh-CN" w:bidi="ar"/>
        </w:rPr>
        <w:t xml:space="preserve">日    </w:t>
      </w:r>
    </w:p>
    <w:p w14:paraId="44E38989">
      <w:pPr>
        <w:keepNext w:val="0"/>
        <w:keepLines w:val="0"/>
        <w:pageBreakBefore w:val="0"/>
        <w:widowControl/>
        <w:suppressLineNumbers w:val="0"/>
        <w:kinsoku/>
        <w:wordWrap/>
        <w:overflowPunct/>
        <w:topLinePunct w:val="0"/>
        <w:bidi w:val="0"/>
        <w:spacing w:before="0" w:beforeAutospacing="0" w:after="0" w:afterAutospacing="0" w:line="600" w:lineRule="exact"/>
        <w:ind w:left="0" w:right="480"/>
        <w:jc w:val="left"/>
        <w:textAlignment w:val="auto"/>
        <w:rPr>
          <w:szCs w:val="32"/>
          <w:lang w:val="en-US"/>
        </w:rPr>
      </w:pPr>
      <w:r>
        <w:rPr>
          <w:rFonts w:hint="eastAsia" w:ascii="Times New Roman" w:hAnsi="方正仿宋_GBK" w:eastAsia="方正仿宋_GBK" w:cs="方正仿宋_GBK"/>
          <w:kern w:val="2"/>
          <w:sz w:val="32"/>
          <w:szCs w:val="32"/>
          <w:lang w:val="en-US" w:eastAsia="zh-CN" w:bidi="ar"/>
        </w:rPr>
        <w:t>（此件公开发布）</w:t>
      </w:r>
      <w:r>
        <w:rPr>
          <w:rFonts w:hint="default" w:ascii="Times New Roman" w:hAnsi="Times New Roman" w:eastAsia="方正仿宋_GBK" w:cs="Times New Roman"/>
          <w:kern w:val="2"/>
          <w:sz w:val="32"/>
          <w:szCs w:val="32"/>
          <w:lang w:val="en-US" w:eastAsia="zh-CN" w:bidi="ar"/>
        </w:rPr>
        <w:t xml:space="preserve">    </w:t>
      </w:r>
    </w:p>
    <w:p w14:paraId="74982EB7">
      <w:pPr>
        <w:pStyle w:val="9"/>
        <w:keepNext w:val="0"/>
        <w:keepLines w:val="0"/>
        <w:pageBreakBefore w:val="0"/>
        <w:widowControl w:val="0"/>
        <w:suppressLineNumbers w:val="0"/>
        <w:kinsoku/>
        <w:wordWrap/>
        <w:overflowPunct/>
        <w:topLinePunct w:val="0"/>
        <w:bidi w:val="0"/>
        <w:spacing w:before="0" w:beforeAutospacing="0" w:after="0" w:afterAutospacing="0" w:line="600" w:lineRule="exact"/>
        <w:ind w:left="840" w:leftChars="400" w:right="0"/>
        <w:jc w:val="both"/>
        <w:textAlignment w:val="auto"/>
        <w:rPr>
          <w:szCs w:val="24"/>
          <w:lang w:val="en-US"/>
        </w:rPr>
      </w:pPr>
    </w:p>
    <w:p w14:paraId="4EF7B8CF">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jc w:val="both"/>
        <w:textAlignment w:val="auto"/>
        <w:rPr>
          <w:szCs w:val="24"/>
          <w:lang w:val="en-US"/>
        </w:rPr>
      </w:pPr>
    </w:p>
    <w:p w14:paraId="2435A693">
      <w:pPr>
        <w:pStyle w:val="9"/>
        <w:keepNext w:val="0"/>
        <w:keepLines w:val="0"/>
        <w:pageBreakBefore w:val="0"/>
        <w:widowControl w:val="0"/>
        <w:suppressLineNumbers w:val="0"/>
        <w:kinsoku/>
        <w:wordWrap/>
        <w:overflowPunct/>
        <w:topLinePunct w:val="0"/>
        <w:bidi w:val="0"/>
        <w:spacing w:before="0" w:beforeAutospacing="0" w:after="0" w:afterAutospacing="0" w:line="600" w:lineRule="exact"/>
        <w:ind w:left="840" w:leftChars="400" w:right="0"/>
        <w:jc w:val="both"/>
        <w:textAlignment w:val="auto"/>
        <w:rPr>
          <w:szCs w:val="24"/>
          <w:lang w:val="en-US"/>
        </w:rPr>
      </w:pPr>
    </w:p>
    <w:p w14:paraId="66F9C38F">
      <w:pPr>
        <w:keepNext w:val="0"/>
        <w:keepLines w:val="0"/>
        <w:pageBreakBefore w:val="0"/>
        <w:widowControl/>
        <w:suppressLineNumbers w:val="0"/>
        <w:kinsoku/>
        <w:wordWrap/>
        <w:overflowPunct/>
        <w:topLinePunct w:val="0"/>
        <w:bidi w:val="0"/>
        <w:spacing w:before="0" w:beforeAutospacing="0" w:after="0" w:afterAutospacing="0" w:line="600" w:lineRule="exact"/>
        <w:ind w:left="0" w:right="24"/>
        <w:jc w:val="center"/>
        <w:textAlignment w:val="auto"/>
        <w:rPr>
          <w:rFonts w:hint="eastAsia" w:ascii="Times New Roman" w:hAnsi="方正小标宋_GBK" w:eastAsia="方正小标宋_GBK" w:cs="方正小标宋_GBK"/>
          <w:kern w:val="2"/>
          <w:sz w:val="44"/>
          <w:szCs w:val="44"/>
          <w:lang w:val="en-US" w:eastAsia="zh-CN" w:bidi="ar"/>
        </w:rPr>
      </w:pPr>
    </w:p>
    <w:p w14:paraId="185B5833">
      <w:pPr>
        <w:keepNext w:val="0"/>
        <w:keepLines w:val="0"/>
        <w:pageBreakBefore w:val="0"/>
        <w:widowControl/>
        <w:suppressLineNumbers w:val="0"/>
        <w:kinsoku/>
        <w:wordWrap/>
        <w:overflowPunct/>
        <w:topLinePunct w:val="0"/>
        <w:bidi w:val="0"/>
        <w:spacing w:before="0" w:beforeAutospacing="0" w:after="0" w:afterAutospacing="0" w:line="600" w:lineRule="exact"/>
        <w:ind w:left="0" w:right="24"/>
        <w:jc w:val="center"/>
        <w:textAlignment w:val="auto"/>
      </w:pPr>
      <w:r>
        <w:rPr>
          <w:rFonts w:hint="eastAsia" w:ascii="Times New Roman" w:hAnsi="方正小标宋_GBK" w:eastAsia="方正小标宋_GBK" w:cs="方正小标宋_GBK"/>
          <w:kern w:val="2"/>
          <w:sz w:val="44"/>
          <w:szCs w:val="44"/>
          <w:lang w:val="en-US" w:eastAsia="zh-CN" w:bidi="ar"/>
        </w:rPr>
        <w:t>南川中心城区停车治理实施方案</w:t>
      </w:r>
    </w:p>
    <w:p w14:paraId="7125035F">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420" w:firstLineChars="200"/>
        <w:jc w:val="both"/>
        <w:textAlignment w:val="auto"/>
        <w:rPr>
          <w:szCs w:val="32"/>
          <w:lang w:val="en-US"/>
        </w:rPr>
      </w:pPr>
    </w:p>
    <w:p w14:paraId="68B4C270">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rPr>
          <w:szCs w:val="32"/>
          <w:lang w:val="en-US"/>
        </w:rPr>
      </w:pPr>
      <w:r>
        <w:rPr>
          <w:rFonts w:hint="eastAsia" w:ascii="Times New Roman" w:hAnsi="方正仿宋_GBK" w:eastAsia="方正仿宋_GBK" w:cs="方正仿宋_GBK"/>
          <w:kern w:val="2"/>
          <w:sz w:val="32"/>
          <w:szCs w:val="32"/>
          <w:lang w:val="en-US" w:eastAsia="zh-CN" w:bidi="ar"/>
        </w:rPr>
        <w:t>随着城市发展和人民生活水平提高，南川中心城区汽车保有量快速增长，</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停车难</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停车乱</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问题日益突出。为进一步加强和改进我区中心城区停车管理工作，提升停车环境、缓解交通拥堵，根据区委、区政府工作要求，结合我区实际，特制定本方案。</w:t>
      </w:r>
    </w:p>
    <w:p w14:paraId="7BA7BA3A">
      <w:pPr>
        <w:keepNext w:val="0"/>
        <w:keepLines w:val="0"/>
        <w:pageBreakBefore w:val="0"/>
        <w:widowControl w:val="0"/>
        <w:suppressLineNumbers w:val="0"/>
        <w:kinsoku/>
        <w:wordWrap/>
        <w:overflowPunct/>
        <w:topLinePunct w:val="0"/>
        <w:bidi w:val="0"/>
        <w:spacing w:before="0" w:beforeAutospacing="0" w:after="0" w:afterAutospacing="0" w:line="600" w:lineRule="exact"/>
        <w:ind w:left="640" w:right="0"/>
        <w:jc w:val="both"/>
        <w:textAlignment w:val="auto"/>
        <w:rPr>
          <w:rFonts w:eastAsia="方正黑体_GBK"/>
          <w:szCs w:val="32"/>
          <w:lang w:val="en-US"/>
        </w:rPr>
      </w:pPr>
      <w:r>
        <w:rPr>
          <w:rFonts w:hint="eastAsia" w:ascii="Times New Roman" w:hAnsi="方正黑体_GBK" w:eastAsia="方正黑体_GBK" w:cs="方正黑体_GBK"/>
          <w:kern w:val="2"/>
          <w:sz w:val="32"/>
          <w:szCs w:val="32"/>
          <w:lang w:val="en-US" w:eastAsia="zh-CN" w:bidi="ar"/>
        </w:rPr>
        <w:t>一、总体要求</w:t>
      </w:r>
    </w:p>
    <w:p w14:paraId="383E64B9">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rPr>
          <w:szCs w:val="32"/>
          <w:lang w:val="en-US"/>
        </w:rPr>
      </w:pPr>
      <w:r>
        <w:rPr>
          <w:rFonts w:hint="eastAsia" w:ascii="Times New Roman" w:hAnsi="方正仿宋_GBK" w:eastAsia="方正仿宋_GBK" w:cs="方正仿宋_GBK"/>
          <w:kern w:val="2"/>
          <w:sz w:val="32"/>
          <w:szCs w:val="32"/>
          <w:lang w:val="en-US" w:eastAsia="zh-CN" w:bidi="ar"/>
        </w:rPr>
        <w:t>以习近平新时代中国特色社会主义思想为指导，坚持以人民为中心的发展理念，立足城市交通发展战略，强化系统治理、依法治理、综合治理、源头治理，坚持问题导向、便民导向、市场导向、责任导向和目标导向，遵循</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新城区严控、老城区挖潜、重点路段严格执法、重点时段限时停放</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原则，因地制宜、分区处置、先易后难、循序渐进，持续推进停车设施建设，综合调控停车需求，盘活存量停车资源，加强停车智能化管理，严格规范停车秩序，着力解决</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停车难</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停车乱</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等突出问题，促进城市交通与经济社会协调发展，增强人民群众的获得感、幸福感、安全感和满意度。</w:t>
      </w:r>
    </w:p>
    <w:p w14:paraId="4C7178A7">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rPr>
          <w:rFonts w:eastAsia="方正黑体_GBK"/>
          <w:szCs w:val="32"/>
          <w:lang w:val="en-US"/>
        </w:rPr>
      </w:pPr>
      <w:r>
        <w:rPr>
          <w:rFonts w:hint="eastAsia" w:ascii="Times New Roman" w:hAnsi="方正黑体_GBK" w:eastAsia="方正黑体_GBK" w:cs="方正黑体_GBK"/>
          <w:kern w:val="2"/>
          <w:sz w:val="32"/>
          <w:szCs w:val="32"/>
          <w:lang w:val="en-US" w:eastAsia="zh-CN" w:bidi="ar"/>
        </w:rPr>
        <w:t>二、实施措施</w:t>
      </w:r>
    </w:p>
    <w:p w14:paraId="1655BA19">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5"/>
        <w:jc w:val="both"/>
        <w:textAlignment w:val="auto"/>
        <w:rPr>
          <w:rFonts w:eastAsia="方正楷体_GBK"/>
          <w:szCs w:val="32"/>
          <w:lang w:val="en-US"/>
        </w:rPr>
      </w:pPr>
      <w:r>
        <w:rPr>
          <w:rFonts w:hint="eastAsia" w:ascii="Times New Roman" w:hAnsi="方正楷体_GBK" w:eastAsia="方正楷体_GBK" w:cs="方正楷体_GBK"/>
          <w:kern w:val="2"/>
          <w:sz w:val="32"/>
          <w:szCs w:val="32"/>
          <w:lang w:val="en-US" w:eastAsia="zh-CN" w:bidi="ar"/>
        </w:rPr>
        <w:t>（一）解决机非人流混行问题，保障群众出行安全。</w:t>
      </w:r>
    </w:p>
    <w:p w14:paraId="6830E291">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5"/>
        <w:jc w:val="both"/>
        <w:textAlignment w:val="auto"/>
        <w:rPr>
          <w:szCs w:val="32"/>
          <w:lang w:val="en-US"/>
        </w:rPr>
      </w:pPr>
      <w:r>
        <w:rPr>
          <w:rFonts w:hint="default" w:ascii="Times New Roman" w:hAnsi="Times New Roman" w:eastAsia="方正仿宋_GBK" w:cs="Times New Roman"/>
          <w:b/>
          <w:bCs w:val="0"/>
          <w:kern w:val="2"/>
          <w:sz w:val="32"/>
          <w:szCs w:val="32"/>
          <w:lang w:val="en-US" w:eastAsia="zh-CN" w:bidi="ar"/>
        </w:rPr>
        <w:t>1.</w:t>
      </w:r>
      <w:r>
        <w:rPr>
          <w:rFonts w:hint="eastAsia" w:ascii="Times New Roman" w:hAnsi="方正仿宋_GBK" w:eastAsia="方正仿宋_GBK" w:cs="方正仿宋_GBK"/>
          <w:b/>
          <w:bCs w:val="0"/>
          <w:kern w:val="2"/>
          <w:sz w:val="32"/>
          <w:szCs w:val="32"/>
          <w:lang w:val="en-US" w:eastAsia="zh-CN" w:bidi="ar"/>
        </w:rPr>
        <w:t>严格实施新城机非分离</w:t>
      </w:r>
      <w:r>
        <w:rPr>
          <w:rFonts w:hint="eastAsia" w:ascii="Times New Roman" w:hAnsi="方正仿宋_GBK" w:eastAsia="方正仿宋_GBK" w:cs="方正仿宋_GBK"/>
          <w:kern w:val="2"/>
          <w:sz w:val="32"/>
          <w:szCs w:val="32"/>
          <w:lang w:val="en-US" w:eastAsia="zh-CN" w:bidi="ar"/>
        </w:rPr>
        <w:t>。取消西大街以西占用车行道（非机动车道）施划的</w:t>
      </w:r>
      <w:r>
        <w:rPr>
          <w:rFonts w:hint="default" w:ascii="Times New Roman" w:hAnsi="Times New Roman" w:eastAsia="方正仿宋_GBK" w:cs="Times New Roman"/>
          <w:kern w:val="2"/>
          <w:sz w:val="32"/>
          <w:szCs w:val="32"/>
          <w:lang w:val="en-US" w:eastAsia="zh-CN" w:bidi="ar"/>
        </w:rPr>
        <w:t>558</w:t>
      </w:r>
      <w:r>
        <w:rPr>
          <w:rFonts w:hint="eastAsia" w:ascii="Times New Roman" w:hAnsi="方正仿宋_GBK" w:eastAsia="方正仿宋_GBK" w:cs="方正仿宋_GBK"/>
          <w:kern w:val="2"/>
          <w:sz w:val="32"/>
          <w:szCs w:val="32"/>
          <w:lang w:val="en-US" w:eastAsia="zh-CN" w:bidi="ar"/>
        </w:rPr>
        <w:t>个路内停车位、南园路（高速路转盘至南园路桥段）</w:t>
      </w:r>
      <w:r>
        <w:rPr>
          <w:rFonts w:hint="default" w:ascii="Times New Roman" w:hAnsi="Times New Roman" w:eastAsia="方正仿宋_GBK" w:cs="Times New Roman"/>
          <w:kern w:val="2"/>
          <w:sz w:val="32"/>
          <w:szCs w:val="32"/>
          <w:lang w:val="en-US" w:eastAsia="zh-CN" w:bidi="ar"/>
        </w:rPr>
        <w:t>28</w:t>
      </w:r>
      <w:r>
        <w:rPr>
          <w:rFonts w:hint="eastAsia" w:ascii="Times New Roman" w:hAnsi="方正仿宋_GBK" w:eastAsia="方正仿宋_GBK" w:cs="方正仿宋_GBK"/>
          <w:kern w:val="2"/>
          <w:sz w:val="32"/>
          <w:szCs w:val="32"/>
          <w:lang w:val="en-US" w:eastAsia="zh-CN" w:bidi="ar"/>
        </w:rPr>
        <w:t>个路内停车位，完善非机动车道专用标志、标线、灯控等设施，在新城区立即实行</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机非分离</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，加强执法监管和宣传引导，逐步形成机动车、非机动车、人流</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各行其道</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的交通模式，老城区逐步推进。</w:t>
      </w:r>
    </w:p>
    <w:p w14:paraId="3337F8E7">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5"/>
        <w:jc w:val="both"/>
        <w:textAlignment w:val="auto"/>
        <w:rPr>
          <w:rFonts w:eastAsia="方正楷体_GBK"/>
          <w:szCs w:val="32"/>
          <w:lang w:val="en-US"/>
        </w:rPr>
      </w:pPr>
      <w:r>
        <w:rPr>
          <w:rFonts w:hint="eastAsia" w:ascii="Times New Roman" w:hAnsi="方正楷体_GBK" w:eastAsia="方正楷体_GBK" w:cs="方正楷体_GBK"/>
          <w:kern w:val="2"/>
          <w:sz w:val="32"/>
          <w:szCs w:val="32"/>
          <w:lang w:val="en-US" w:eastAsia="zh-CN" w:bidi="ar"/>
        </w:rPr>
        <w:t>（二）解决停车资源闲置问题，增强群众停车便利。</w:t>
      </w:r>
    </w:p>
    <w:p w14:paraId="6E4EC243">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643" w:firstLineChars="200"/>
        <w:jc w:val="left"/>
        <w:textAlignment w:val="auto"/>
        <w:rPr>
          <w:b/>
          <w:bCs w:val="0"/>
          <w:kern w:val="0"/>
          <w:szCs w:val="32"/>
          <w:lang w:val="en-US"/>
        </w:rPr>
      </w:pPr>
      <w:r>
        <w:rPr>
          <w:rFonts w:hint="default" w:ascii="Times New Roman" w:hAnsi="Times New Roman" w:eastAsia="方正仿宋_GBK" w:cs="Times New Roman"/>
          <w:b/>
          <w:bCs w:val="0"/>
          <w:kern w:val="0"/>
          <w:sz w:val="32"/>
          <w:szCs w:val="32"/>
          <w:lang w:val="en-US" w:eastAsia="zh-CN" w:bidi="ar"/>
        </w:rPr>
        <w:t>2.</w:t>
      </w:r>
      <w:r>
        <w:rPr>
          <w:rFonts w:hint="eastAsia" w:ascii="Times New Roman" w:hAnsi="方正仿宋_GBK" w:eastAsia="方正仿宋_GBK" w:cs="方正仿宋_GBK"/>
          <w:b/>
          <w:bCs w:val="0"/>
          <w:kern w:val="0"/>
          <w:sz w:val="32"/>
          <w:szCs w:val="32"/>
          <w:lang w:val="en-US" w:eastAsia="zh-CN" w:bidi="ar"/>
        </w:rPr>
        <w:t>合理优化车位配建标准。</w:t>
      </w:r>
      <w:r>
        <w:rPr>
          <w:rFonts w:hint="eastAsia" w:ascii="Times New Roman" w:hAnsi="方正仿宋_GBK" w:eastAsia="方正仿宋_GBK" w:cs="方正仿宋_GBK"/>
          <w:kern w:val="0"/>
          <w:sz w:val="32"/>
          <w:szCs w:val="32"/>
          <w:lang w:val="en-US" w:eastAsia="zh-CN" w:bidi="ar"/>
        </w:rPr>
        <w:t>区规划自然资源局严格按照国家有关规定和我市停车设施配建标准，进一步优化细化新建建筑物停车位配建指标，合理调控停车位增速和布局，对居住区、学校、医院周边等要优先满足，对其他区域要合理控制，既要方便群众停车，又避免停车资源长期闲置。</w:t>
      </w:r>
    </w:p>
    <w:p w14:paraId="2B0278B4">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643" w:firstLineChars="200"/>
        <w:jc w:val="left"/>
        <w:textAlignment w:val="auto"/>
        <w:rPr>
          <w:rFonts w:eastAsia="方正楷体_GBK"/>
          <w:szCs w:val="32"/>
          <w:lang w:val="en-US"/>
        </w:rPr>
      </w:pPr>
      <w:r>
        <w:rPr>
          <w:rFonts w:hint="default" w:ascii="Times New Roman" w:hAnsi="Times New Roman" w:eastAsia="方正仿宋_GBK" w:cs="Times New Roman"/>
          <w:b/>
          <w:bCs w:val="0"/>
          <w:kern w:val="0"/>
          <w:sz w:val="32"/>
          <w:szCs w:val="32"/>
          <w:lang w:val="en-US" w:eastAsia="zh-CN" w:bidi="ar"/>
        </w:rPr>
        <w:t>3.</w:t>
      </w:r>
      <w:r>
        <w:rPr>
          <w:rFonts w:hint="eastAsia" w:ascii="Times New Roman" w:hAnsi="方正仿宋_GBK" w:eastAsia="方正仿宋_GBK" w:cs="方正仿宋_GBK"/>
          <w:b/>
          <w:bCs w:val="0"/>
          <w:kern w:val="0"/>
          <w:sz w:val="32"/>
          <w:szCs w:val="32"/>
          <w:lang w:val="en-US" w:eastAsia="zh-CN" w:bidi="ar"/>
        </w:rPr>
        <w:t>全面恢复路内停车收费</w:t>
      </w:r>
      <w:r>
        <w:rPr>
          <w:rFonts w:hint="eastAsia" w:ascii="Times New Roman" w:hAnsi="方正仿宋_GBK" w:eastAsia="方正仿宋_GBK" w:cs="方正仿宋_GBK"/>
          <w:kern w:val="2"/>
          <w:sz w:val="32"/>
          <w:szCs w:val="32"/>
          <w:lang w:val="en-US" w:eastAsia="zh-CN" w:bidi="ar"/>
        </w:rPr>
        <w:t>。区城投集团负责完善路内停车位标线编号、收费公示牌、分流提示牌等设施建设，完成智能化改造，广泛开展宣传引导，于</w:t>
      </w:r>
      <w:r>
        <w:rPr>
          <w:rFonts w:hint="default" w:ascii="Times New Roman" w:hAnsi="Times New Roman" w:eastAsia="方正仿宋_GBK" w:cs="Times New Roman"/>
          <w:kern w:val="2"/>
          <w:sz w:val="32"/>
          <w:szCs w:val="32"/>
          <w:lang w:val="en-US" w:eastAsia="zh-CN" w:bidi="ar"/>
        </w:rPr>
        <w:t>2022</w:t>
      </w:r>
      <w:r>
        <w:rPr>
          <w:rFonts w:hint="eastAsia" w:ascii="Times New Roman"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9</w:t>
      </w:r>
      <w:r>
        <w:rPr>
          <w:rFonts w:hint="eastAsia" w:ascii="Times New Roman" w:hAnsi="方正仿宋_GBK"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1</w:t>
      </w:r>
      <w:r>
        <w:rPr>
          <w:rFonts w:hint="eastAsia" w:ascii="Times New Roman" w:hAnsi="方正仿宋_GBK" w:eastAsia="方正仿宋_GBK" w:cs="方正仿宋_GBK"/>
          <w:kern w:val="2"/>
          <w:sz w:val="32"/>
          <w:szCs w:val="32"/>
          <w:lang w:val="en-US" w:eastAsia="zh-CN" w:bidi="ar"/>
        </w:rPr>
        <w:t>日起恢复停车收费，收费标准由区发展改革委重新核准。军车和执行任务时的制式警车、消防车、救护车、工程抢险抢修救灾车辆免收路内停放服务费；法律法规规定享受减免政策的其他车辆，按规定免收或减收路内停放服务费。</w:t>
      </w:r>
    </w:p>
    <w:p w14:paraId="206AC783">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643" w:firstLineChars="200"/>
        <w:jc w:val="left"/>
        <w:textAlignment w:val="auto"/>
        <w:rPr>
          <w:szCs w:val="32"/>
          <w:lang w:val="en-US"/>
        </w:rPr>
      </w:pPr>
      <w:r>
        <w:rPr>
          <w:rFonts w:hint="default" w:ascii="Times New Roman" w:hAnsi="Times New Roman" w:eastAsia="方正仿宋_GBK" w:cs="Times New Roman"/>
          <w:b/>
          <w:bCs w:val="0"/>
          <w:kern w:val="2"/>
          <w:sz w:val="32"/>
          <w:szCs w:val="32"/>
          <w:lang w:val="en-US" w:eastAsia="zh-CN" w:bidi="ar"/>
        </w:rPr>
        <w:t>4.</w:t>
      </w:r>
      <w:r>
        <w:rPr>
          <w:rFonts w:hint="eastAsia" w:ascii="Times New Roman" w:hAnsi="方正仿宋_GBK" w:eastAsia="方正仿宋_GBK" w:cs="方正仿宋_GBK"/>
          <w:b/>
          <w:bCs w:val="0"/>
          <w:kern w:val="2"/>
          <w:sz w:val="32"/>
          <w:szCs w:val="32"/>
          <w:lang w:val="en-US" w:eastAsia="zh-CN" w:bidi="ar"/>
        </w:rPr>
        <w:t>大力实施停车智能建设</w:t>
      </w:r>
      <w:r>
        <w:rPr>
          <w:rFonts w:hint="eastAsia" w:ascii="Times New Roman" w:hAnsi="方正仿宋_GBK" w:eastAsia="方正仿宋_GBK" w:cs="方正仿宋_GBK"/>
          <w:kern w:val="2"/>
          <w:sz w:val="32"/>
          <w:szCs w:val="32"/>
          <w:lang w:val="en-US" w:eastAsia="zh-CN" w:bidi="ar"/>
        </w:rPr>
        <w:t>。区城市管理局和区公安交巡警支队牵头，区城投集团具体实施，整合停车设施数据资源，建设智慧停车管理平台，构建行政监管、车场管理、公众服务三大子平台，实现政府、企业、公众</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三位一体</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综合服务功能。一是建设全区停车诱导系统，引导车主就近寻找空闲停车位，方便群众停车。二是实施路内停车位智能化建设，提升收费管理效率，降低人工成本。三是探索共享停车模式，推动机关企事业单位停车位非工作时间有偿错时共享，鼓励相邻单位、小区错时向社会开放停车设施，提升停车位利用率。四是合理增加布局违停监控等设施设备，对禁停路段停放的车辆采取教育和处罚相结合的方式来规范车辆停放。</w:t>
      </w:r>
    </w:p>
    <w:p w14:paraId="0E6AD57F">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643" w:firstLineChars="200"/>
        <w:jc w:val="left"/>
        <w:textAlignment w:val="auto"/>
        <w:rPr>
          <w:szCs w:val="32"/>
          <w:lang w:val="en-US"/>
        </w:rPr>
      </w:pPr>
      <w:r>
        <w:rPr>
          <w:rFonts w:hint="default" w:ascii="Times New Roman" w:hAnsi="Times New Roman" w:eastAsia="方正仿宋_GBK" w:cs="Times New Roman"/>
          <w:b/>
          <w:bCs w:val="0"/>
          <w:kern w:val="2"/>
          <w:sz w:val="32"/>
          <w:szCs w:val="32"/>
          <w:lang w:val="en-US" w:eastAsia="zh-CN" w:bidi="ar"/>
        </w:rPr>
        <w:t>5.</w:t>
      </w:r>
      <w:r>
        <w:rPr>
          <w:rFonts w:hint="eastAsia" w:ascii="Times New Roman" w:hAnsi="方正仿宋_GBK" w:eastAsia="方正仿宋_GBK" w:cs="方正仿宋_GBK"/>
          <w:b/>
          <w:bCs w:val="0"/>
          <w:kern w:val="2"/>
          <w:sz w:val="32"/>
          <w:szCs w:val="32"/>
          <w:lang w:val="en-US" w:eastAsia="zh-CN" w:bidi="ar"/>
        </w:rPr>
        <w:t>探索推行差异</w:t>
      </w:r>
      <w:r>
        <w:rPr>
          <w:rFonts w:hint="eastAsia" w:hAnsi="方正仿宋_GBK" w:eastAsia="方正仿宋_GBK" w:cs="方正仿宋_GBK"/>
          <w:b/>
          <w:bCs w:val="0"/>
          <w:kern w:val="2"/>
          <w:sz w:val="32"/>
          <w:szCs w:val="32"/>
          <w:lang w:val="en-US" w:eastAsia="zh-CN" w:bidi="ar"/>
        </w:rPr>
        <w:t>化</w:t>
      </w:r>
      <w:r>
        <w:rPr>
          <w:rFonts w:hint="eastAsia" w:ascii="Times New Roman" w:hAnsi="方正仿宋_GBK" w:eastAsia="方正仿宋_GBK" w:cs="方正仿宋_GBK"/>
          <w:b/>
          <w:bCs w:val="0"/>
          <w:kern w:val="2"/>
          <w:sz w:val="32"/>
          <w:szCs w:val="32"/>
          <w:lang w:val="en-US" w:eastAsia="zh-CN" w:bidi="ar"/>
        </w:rPr>
        <w:t>收费政策</w:t>
      </w:r>
      <w:r>
        <w:rPr>
          <w:rFonts w:hint="eastAsia" w:ascii="Times New Roman" w:hAnsi="方正仿宋_GBK" w:eastAsia="方正仿宋_GBK" w:cs="方正仿宋_GBK"/>
          <w:kern w:val="2"/>
          <w:sz w:val="32"/>
          <w:szCs w:val="32"/>
          <w:lang w:val="en-US" w:eastAsia="zh-CN" w:bidi="ar"/>
        </w:rPr>
        <w:t>。完善停车价格机制，进一步发挥价格杠杆的调控作用，按照</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路内高于路外、地上高于地下、重点区域高于一般区域</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的原则，综合考虑区域位置、设施等级、服务条件、停放时段、供需关系等因素实行差异化定价。督促机关企事业单位、各小区空闲停车位对外开放，释放停车资源，协商小区停车场运行管理主体适当下调车库临停车辆收费标准。根据市级最新标准，结合我区实际，重新论证、核准路内停车位收费标准。</w:t>
      </w:r>
    </w:p>
    <w:p w14:paraId="24850C69">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5"/>
        <w:jc w:val="both"/>
        <w:textAlignment w:val="auto"/>
        <w:rPr>
          <w:rFonts w:eastAsia="方正楷体_GBK"/>
          <w:szCs w:val="32"/>
          <w:lang w:val="en-US"/>
        </w:rPr>
      </w:pPr>
      <w:r>
        <w:rPr>
          <w:rFonts w:hint="eastAsia" w:ascii="Times New Roman" w:hAnsi="方正楷体_GBK" w:eastAsia="方正楷体_GBK" w:cs="方正楷体_GBK"/>
          <w:kern w:val="2"/>
          <w:sz w:val="32"/>
          <w:szCs w:val="32"/>
          <w:lang w:val="en-US" w:eastAsia="zh-CN" w:bidi="ar"/>
        </w:rPr>
        <w:t>（三）解决停车难停车乱问题，提升城市品质形象。</w:t>
      </w:r>
    </w:p>
    <w:p w14:paraId="0AFB0599">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630" w:firstLineChars="196"/>
        <w:jc w:val="left"/>
        <w:textAlignment w:val="auto"/>
        <w:rPr>
          <w:szCs w:val="32"/>
          <w:lang w:val="en-US"/>
        </w:rPr>
      </w:pPr>
      <w:r>
        <w:rPr>
          <w:rFonts w:hint="default" w:ascii="Times New Roman" w:hAnsi="Times New Roman" w:eastAsia="方正仿宋_GBK" w:cs="Times New Roman"/>
          <w:b/>
          <w:bCs w:val="0"/>
          <w:kern w:val="0"/>
          <w:sz w:val="32"/>
          <w:szCs w:val="32"/>
          <w:lang w:val="en-US" w:eastAsia="zh-CN" w:bidi="ar"/>
        </w:rPr>
        <w:t>6.</w:t>
      </w:r>
      <w:r>
        <w:rPr>
          <w:rFonts w:hint="eastAsia" w:ascii="Times New Roman" w:hAnsi="方正仿宋_GBK" w:eastAsia="方正仿宋_GBK" w:cs="方正仿宋_GBK"/>
          <w:b/>
          <w:bCs w:val="0"/>
          <w:kern w:val="0"/>
          <w:sz w:val="32"/>
          <w:szCs w:val="32"/>
          <w:lang w:val="en-US" w:eastAsia="zh-CN" w:bidi="ar"/>
        </w:rPr>
        <w:t>合理增设限时停车泊位</w:t>
      </w:r>
      <w:r>
        <w:rPr>
          <w:rFonts w:hint="eastAsia" w:ascii="Times New Roman" w:hAnsi="方正仿宋_GBK" w:eastAsia="方正仿宋_GBK" w:cs="方正仿宋_GBK"/>
          <w:kern w:val="2"/>
          <w:sz w:val="32"/>
          <w:szCs w:val="32"/>
          <w:lang w:val="en-US" w:eastAsia="zh-CN" w:bidi="ar"/>
        </w:rPr>
        <w:t>。一是在商业密集区域设置限时停车位，允许市民在用餐高峰期（</w:t>
      </w:r>
      <w:r>
        <w:rPr>
          <w:rFonts w:hint="default" w:ascii="Times New Roman" w:hAnsi="Times New Roman" w:eastAsia="方正仿宋_GBK" w:cs="Times New Roman"/>
          <w:kern w:val="2"/>
          <w:sz w:val="32"/>
          <w:szCs w:val="32"/>
          <w:lang w:val="en-US" w:eastAsia="zh-CN" w:bidi="ar"/>
        </w:rPr>
        <w:t>18:00-20:30</w:t>
      </w:r>
      <w:r>
        <w:rPr>
          <w:rFonts w:hint="eastAsia" w:ascii="Times New Roman" w:hAnsi="方正仿宋_GBK" w:eastAsia="方正仿宋_GBK" w:cs="方正仿宋_GBK"/>
          <w:kern w:val="2"/>
          <w:sz w:val="32"/>
          <w:szCs w:val="32"/>
          <w:lang w:val="en-US" w:eastAsia="zh-CN" w:bidi="ar"/>
        </w:rPr>
        <w:t>）临时缴费停车，既保证道路正常通行，又满足市民临停需求。主要在凤江南路滨江一号段、龙井路康田熙岸段、学堂路香格里拉西苑段、东街路网、来游路锦辉雅居东苑段新增施划约</w:t>
      </w:r>
      <w:r>
        <w:rPr>
          <w:rFonts w:hint="default" w:ascii="Times New Roman" w:hAnsi="Times New Roman" w:eastAsia="方正仿宋_GBK" w:cs="Times New Roman"/>
          <w:kern w:val="2"/>
          <w:sz w:val="32"/>
          <w:szCs w:val="32"/>
          <w:lang w:val="en-US" w:eastAsia="zh-CN" w:bidi="ar"/>
        </w:rPr>
        <w:t>210</w:t>
      </w:r>
      <w:r>
        <w:rPr>
          <w:rFonts w:hint="eastAsia" w:ascii="Times New Roman" w:hAnsi="方正仿宋_GBK" w:eastAsia="方正仿宋_GBK" w:cs="方正仿宋_GBK"/>
          <w:kern w:val="2"/>
          <w:sz w:val="32"/>
          <w:szCs w:val="32"/>
          <w:lang w:val="en-US" w:eastAsia="zh-CN" w:bidi="ar"/>
        </w:rPr>
        <w:t>个限时停车位。二是在学校、医院、公厕门口、商家卸货出入口等区域合理设置限时停车位，允许车辆在</w:t>
      </w:r>
      <w:r>
        <w:rPr>
          <w:rFonts w:hint="default" w:ascii="Times New Roman" w:hAnsi="Times New Roman" w:eastAsia="方正仿宋_GBK" w:cs="Times New Roman"/>
          <w:kern w:val="2"/>
          <w:sz w:val="32"/>
          <w:szCs w:val="32"/>
          <w:lang w:val="en-US" w:eastAsia="zh-CN" w:bidi="ar"/>
        </w:rPr>
        <w:t>30</w:t>
      </w:r>
      <w:r>
        <w:rPr>
          <w:rFonts w:hint="eastAsia" w:ascii="Times New Roman" w:hAnsi="方正仿宋_GBK" w:eastAsia="方正仿宋_GBK" w:cs="方正仿宋_GBK"/>
          <w:kern w:val="2"/>
          <w:sz w:val="32"/>
          <w:szCs w:val="32"/>
          <w:lang w:val="en-US" w:eastAsia="zh-CN" w:bidi="ar"/>
        </w:rPr>
        <w:t>分钟内临时停放，既规范停车秩序，又支持经济发展。三是优化老旧小区内部及周边道路交通组织，在符合安全管理和基本通行条件下，适当利用周边路段设置夜间限时停车泊位，满足市民夜间停车需求。</w:t>
      </w:r>
    </w:p>
    <w:p w14:paraId="1614D0D2">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630" w:firstLineChars="196"/>
        <w:jc w:val="left"/>
        <w:textAlignment w:val="auto"/>
      </w:pPr>
      <w:r>
        <w:rPr>
          <w:rFonts w:hint="default" w:ascii="Times New Roman" w:hAnsi="Times New Roman" w:eastAsia="方正仿宋_GBK" w:cs="Times New Roman"/>
          <w:b/>
          <w:bCs w:val="0"/>
          <w:kern w:val="2"/>
          <w:sz w:val="32"/>
          <w:szCs w:val="32"/>
          <w:lang w:val="en-US" w:eastAsia="zh-CN" w:bidi="ar"/>
        </w:rPr>
        <w:t>7.</w:t>
      </w:r>
      <w:r>
        <w:rPr>
          <w:rFonts w:hint="eastAsia" w:ascii="Times New Roman" w:hAnsi="方正仿宋_GBK" w:eastAsia="方正仿宋_GBK" w:cs="方正仿宋_GBK"/>
          <w:b/>
          <w:bCs w:val="0"/>
          <w:kern w:val="2"/>
          <w:sz w:val="32"/>
          <w:szCs w:val="32"/>
          <w:lang w:val="en-US" w:eastAsia="zh-CN" w:bidi="ar"/>
        </w:rPr>
        <w:t>全面加强停车专项执法</w:t>
      </w:r>
      <w:r>
        <w:rPr>
          <w:rFonts w:hint="eastAsia" w:ascii="Times New Roman" w:hAnsi="方正仿宋_GBK" w:eastAsia="方正仿宋_GBK" w:cs="方正仿宋_GBK"/>
          <w:kern w:val="2"/>
          <w:sz w:val="32"/>
          <w:szCs w:val="32"/>
          <w:lang w:val="en-US" w:eastAsia="zh-CN" w:bidi="ar"/>
        </w:rPr>
        <w:t>。增加执法力量，由区公安交巡警支队牵头，区城市管理局派</w:t>
      </w:r>
      <w:r>
        <w:rPr>
          <w:rFonts w:hint="default" w:ascii="Times New Roman" w:hAnsi="Times New Roman" w:eastAsia="方正仿宋_GBK" w:cs="Times New Roman"/>
          <w:kern w:val="2"/>
          <w:sz w:val="32"/>
          <w:szCs w:val="32"/>
          <w:lang w:val="en-US" w:eastAsia="zh-CN" w:bidi="ar"/>
        </w:rPr>
        <w:t>2</w:t>
      </w:r>
      <w:r>
        <w:rPr>
          <w:rFonts w:hint="eastAsia" w:ascii="Times New Roman" w:hAnsi="方正仿宋_GBK" w:eastAsia="方正仿宋_GBK" w:cs="方正仿宋_GBK"/>
          <w:kern w:val="2"/>
          <w:sz w:val="32"/>
          <w:szCs w:val="32"/>
          <w:lang w:val="en-US" w:eastAsia="zh-CN" w:bidi="ar"/>
        </w:rPr>
        <w:t>名正式执法人员配合，配备</w:t>
      </w:r>
      <w:r>
        <w:rPr>
          <w:rFonts w:hint="default" w:ascii="Times New Roman" w:hAnsi="Times New Roman" w:eastAsia="方正仿宋_GBK" w:cs="Times New Roman"/>
          <w:kern w:val="2"/>
          <w:sz w:val="32"/>
          <w:szCs w:val="32"/>
          <w:lang w:val="en-US" w:eastAsia="zh-CN" w:bidi="ar"/>
        </w:rPr>
        <w:t>20</w:t>
      </w:r>
      <w:r>
        <w:rPr>
          <w:rFonts w:hint="eastAsia" w:ascii="Times New Roman" w:hAnsi="方正仿宋_GBK" w:eastAsia="方正仿宋_GBK" w:cs="方正仿宋_GBK"/>
          <w:kern w:val="2"/>
          <w:sz w:val="32"/>
          <w:szCs w:val="32"/>
          <w:lang w:val="en-US" w:eastAsia="zh-CN" w:bidi="ar"/>
        </w:rPr>
        <w:t>名协管人员，组建停车管理执法队伍，负责城区停车执法工作。根据道路交通拥堵情况，在城区主次干道、背街小巷、小区进出通道设立停车严管区、示范路，常态化开展停车管理专项整治行动，严肃查处违章停车、损坏停车设施、长期违法占用停车资源、私自设置地锁、乱收停车费等违法行为。开展夜间延伸执法（延长到</w:t>
      </w:r>
      <w:r>
        <w:rPr>
          <w:rFonts w:hint="default" w:ascii="Times New Roman" w:hAnsi="Times New Roman" w:eastAsia="方正仿宋_GBK" w:cs="Times New Roman"/>
          <w:kern w:val="2"/>
          <w:sz w:val="32"/>
          <w:szCs w:val="32"/>
          <w:lang w:val="en-US" w:eastAsia="zh-CN" w:bidi="ar"/>
        </w:rPr>
        <w:t>22:30</w:t>
      </w:r>
      <w:r>
        <w:rPr>
          <w:rFonts w:hint="eastAsia" w:ascii="Times New Roman" w:hAnsi="方正仿宋_GBK" w:eastAsia="方正仿宋_GBK" w:cs="方正仿宋_GBK"/>
          <w:kern w:val="2"/>
          <w:sz w:val="32"/>
          <w:szCs w:val="32"/>
          <w:lang w:val="en-US" w:eastAsia="zh-CN" w:bidi="ar"/>
        </w:rPr>
        <w:t>）、背街小巷延伸执法，切实规范动静态交通秩序，培养良好停车习惯。</w:t>
      </w:r>
    </w:p>
    <w:p w14:paraId="7F37B999">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5"/>
        <w:jc w:val="both"/>
        <w:textAlignment w:val="auto"/>
        <w:rPr>
          <w:szCs w:val="32"/>
          <w:lang w:val="en-US"/>
        </w:rPr>
      </w:pPr>
      <w:r>
        <w:rPr>
          <w:rFonts w:hint="default" w:ascii="Times New Roman" w:hAnsi="Times New Roman" w:eastAsia="方正仿宋_GBK" w:cs="Times New Roman"/>
          <w:b/>
          <w:bCs w:val="0"/>
          <w:kern w:val="0"/>
          <w:sz w:val="32"/>
          <w:szCs w:val="32"/>
          <w:lang w:val="en-US" w:eastAsia="zh-CN" w:bidi="ar"/>
        </w:rPr>
        <w:t>8.</w:t>
      </w:r>
      <w:r>
        <w:rPr>
          <w:rFonts w:hint="eastAsia" w:ascii="Times New Roman" w:hAnsi="方正仿宋_GBK" w:eastAsia="方正仿宋_GBK" w:cs="方正仿宋_GBK"/>
          <w:b/>
          <w:bCs w:val="0"/>
          <w:kern w:val="0"/>
          <w:sz w:val="32"/>
          <w:szCs w:val="32"/>
          <w:lang w:val="en-US" w:eastAsia="zh-CN" w:bidi="ar"/>
        </w:rPr>
        <w:t>清理整治挪为他用车库</w:t>
      </w:r>
      <w:r>
        <w:rPr>
          <w:rFonts w:hint="eastAsia" w:ascii="Times New Roman" w:hAnsi="方正仿宋_GBK" w:eastAsia="方正仿宋_GBK" w:cs="方正仿宋_GBK"/>
          <w:kern w:val="2"/>
          <w:sz w:val="32"/>
          <w:szCs w:val="32"/>
          <w:lang w:val="en-US" w:eastAsia="zh-CN" w:bidi="ar"/>
        </w:rPr>
        <w:t>。严格按照国家有关规定和我市停车设施配建标准，对新建、改建、扩建公共建筑、居住小区的停车设施配建数量及出入口设计进行清理整治。全面整治擅自停止使用停车设施或改变停车设施用途等违规行为，恢复停车功能，首先整治宏仁一医院、体育馆地下停车场，解决体育中心附近停车分流问题，逐步解决白鹤大厦、动步游园地下停车场。</w:t>
      </w:r>
    </w:p>
    <w:p w14:paraId="4D6CA02F">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5"/>
        <w:jc w:val="both"/>
        <w:textAlignment w:val="auto"/>
        <w:rPr>
          <w:color w:val="FF0000"/>
          <w:szCs w:val="32"/>
          <w:u w:val="single"/>
          <w:lang w:val="en-US"/>
        </w:rPr>
      </w:pPr>
      <w:r>
        <w:rPr>
          <w:rFonts w:hint="default" w:ascii="Times New Roman" w:hAnsi="Times New Roman" w:eastAsia="方正仿宋_GBK" w:cs="Times New Roman"/>
          <w:b/>
          <w:bCs w:val="0"/>
          <w:kern w:val="0"/>
          <w:sz w:val="32"/>
          <w:szCs w:val="32"/>
          <w:lang w:val="en-US" w:eastAsia="zh-CN" w:bidi="ar"/>
        </w:rPr>
        <w:t>9.</w:t>
      </w:r>
      <w:r>
        <w:rPr>
          <w:rFonts w:hint="eastAsia" w:ascii="Times New Roman" w:hAnsi="方正仿宋_GBK" w:eastAsia="方正仿宋_GBK" w:cs="方正仿宋_GBK"/>
          <w:b/>
          <w:bCs w:val="0"/>
          <w:kern w:val="0"/>
          <w:sz w:val="32"/>
          <w:szCs w:val="32"/>
          <w:lang w:val="en-US" w:eastAsia="zh-CN" w:bidi="ar"/>
        </w:rPr>
        <w:t>论证建设立体式停车场</w:t>
      </w:r>
      <w:r>
        <w:rPr>
          <w:rFonts w:hint="eastAsia" w:ascii="Times New Roman" w:hAnsi="方正仿宋_GBK" w:eastAsia="方正仿宋_GBK" w:cs="方正仿宋_GBK"/>
          <w:kern w:val="2"/>
          <w:sz w:val="32"/>
          <w:szCs w:val="32"/>
          <w:lang w:val="en-US" w:eastAsia="zh-CN" w:bidi="ar"/>
        </w:rPr>
        <w:t>。区规划自然资源局、区城市管理局牵头，现场选址论证利用老城区边角空闲地、机关单位空置办公区域等建设机械式立体停车场的可行性，对具备建设条件的，由区住房城乡建委纳入年度建设计划。</w:t>
      </w:r>
    </w:p>
    <w:p w14:paraId="4CA09C57">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5"/>
        <w:jc w:val="both"/>
        <w:textAlignment w:val="auto"/>
        <w:rPr>
          <w:szCs w:val="32"/>
          <w:lang w:val="en-US"/>
        </w:rPr>
      </w:pPr>
      <w:r>
        <w:rPr>
          <w:rFonts w:hint="default" w:ascii="Times New Roman" w:hAnsi="Times New Roman" w:eastAsia="方正仿宋_GBK" w:cs="Times New Roman"/>
          <w:b/>
          <w:bCs w:val="0"/>
          <w:kern w:val="0"/>
          <w:sz w:val="32"/>
          <w:szCs w:val="32"/>
          <w:lang w:val="en-US" w:eastAsia="zh-CN" w:bidi="ar"/>
        </w:rPr>
        <w:t>10.</w:t>
      </w:r>
      <w:r>
        <w:rPr>
          <w:rFonts w:hint="eastAsia" w:ascii="Times New Roman" w:hAnsi="方正仿宋_GBK" w:eastAsia="方正仿宋_GBK" w:cs="方正仿宋_GBK"/>
          <w:b/>
          <w:bCs w:val="0"/>
          <w:kern w:val="0"/>
          <w:sz w:val="32"/>
          <w:szCs w:val="32"/>
          <w:lang w:val="en-US" w:eastAsia="zh-CN" w:bidi="ar"/>
        </w:rPr>
        <w:t>推进公共停车楼场建设</w:t>
      </w:r>
      <w:r>
        <w:rPr>
          <w:rFonts w:hint="eastAsia" w:ascii="Times New Roman" w:hAnsi="方正仿宋_GBK" w:eastAsia="方正仿宋_GBK" w:cs="方正仿宋_GBK"/>
          <w:kern w:val="2"/>
          <w:sz w:val="32"/>
          <w:szCs w:val="32"/>
          <w:lang w:val="en-US" w:eastAsia="zh-CN" w:bidi="ar"/>
        </w:rPr>
        <w:t>。加大公共停车设施用地、资金、政策支持保障力度，利用城市广场、公园绿地、学校操场的地下空间，打造集人民防空、市政停车为一体的集约化地下公共停车场，缓解重点区域停车难问题。</w:t>
      </w:r>
    </w:p>
    <w:p w14:paraId="31CD8317">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3" w:firstLineChars="200"/>
        <w:jc w:val="both"/>
        <w:textAlignment w:val="auto"/>
        <w:rPr>
          <w:szCs w:val="32"/>
          <w:lang w:val="en-US"/>
        </w:rPr>
      </w:pPr>
      <w:r>
        <w:rPr>
          <w:rFonts w:hint="default" w:ascii="Times New Roman" w:hAnsi="Times New Roman" w:eastAsia="方正仿宋_GBK" w:cs="Times New Roman"/>
          <w:b/>
          <w:bCs w:val="0"/>
          <w:kern w:val="0"/>
          <w:sz w:val="32"/>
          <w:szCs w:val="32"/>
          <w:lang w:val="en-US" w:eastAsia="zh-CN" w:bidi="ar"/>
        </w:rPr>
        <w:t>11.</w:t>
      </w:r>
      <w:r>
        <w:rPr>
          <w:rFonts w:hint="eastAsia" w:ascii="Times New Roman" w:hAnsi="方正仿宋_GBK" w:eastAsia="方正仿宋_GBK" w:cs="方正仿宋_GBK"/>
          <w:b/>
          <w:bCs w:val="0"/>
          <w:kern w:val="0"/>
          <w:sz w:val="32"/>
          <w:szCs w:val="32"/>
          <w:lang w:val="en-US" w:eastAsia="zh-CN" w:bidi="ar"/>
        </w:rPr>
        <w:t>合理布局货运停车设施</w:t>
      </w:r>
      <w:r>
        <w:rPr>
          <w:rFonts w:hint="eastAsia" w:ascii="Times New Roman" w:hAnsi="方正仿宋_GBK" w:eastAsia="方正仿宋_GBK" w:cs="方正仿宋_GBK"/>
          <w:kern w:val="2"/>
          <w:sz w:val="32"/>
          <w:szCs w:val="32"/>
          <w:lang w:val="en-US" w:eastAsia="zh-CN" w:bidi="ar"/>
        </w:rPr>
        <w:t>。编制完善城区货运停车场专项规划，采取</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永临结合</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的方式，充分利用闲置地、边角地和高速公路、高铁、普铁沿线防护绿地等区域，分片区布局货运停车场。工业园区龙岩组团近期可考虑将爱溪火电厂拆迁地块改造为临时货运停车场，中期可利用高铁沿线高架桥下部空间、毗邻防护绿地建设货运停车场；商贸物流园区近期可利用高速公路、普铁沿线毗邻防护绿地建设货运停车场，中期在商贸物流园区内、绕城货运通道沿线布局货运停车场；新城区充分利用泉通公司现有龙济临时货运停车场解决货车停放问题；文凤片区由区城投集团负责在景城大道沿线福南桥周边建设</w:t>
      </w:r>
      <w:r>
        <w:rPr>
          <w:rFonts w:hint="default" w:ascii="Times New Roman" w:hAnsi="Times New Roman" w:eastAsia="方正仿宋_GBK" w:cs="Times New Roman"/>
          <w:kern w:val="2"/>
          <w:sz w:val="32"/>
          <w:szCs w:val="32"/>
          <w:lang w:val="en-US" w:eastAsia="zh-CN" w:bidi="ar"/>
        </w:rPr>
        <w:t>1</w:t>
      </w:r>
      <w:r>
        <w:rPr>
          <w:rFonts w:hint="eastAsia" w:ascii="Times New Roman" w:hAnsi="方正仿宋_GBK" w:eastAsia="方正仿宋_GBK" w:cs="方正仿宋_GBK"/>
          <w:kern w:val="2"/>
          <w:sz w:val="32"/>
          <w:szCs w:val="32"/>
          <w:lang w:val="en-US" w:eastAsia="zh-CN" w:bidi="ar"/>
        </w:rPr>
        <w:t>座货运停车场。</w:t>
      </w:r>
    </w:p>
    <w:p w14:paraId="001FFA2F">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3" w:firstLineChars="200"/>
        <w:jc w:val="both"/>
        <w:textAlignment w:val="auto"/>
        <w:rPr>
          <w:szCs w:val="32"/>
          <w:lang w:val="en-US"/>
        </w:rPr>
      </w:pPr>
      <w:r>
        <w:rPr>
          <w:rFonts w:hint="default" w:ascii="Times New Roman" w:hAnsi="Times New Roman" w:eastAsia="方正仿宋_GBK" w:cs="Times New Roman"/>
          <w:b/>
          <w:bCs w:val="0"/>
          <w:kern w:val="2"/>
          <w:sz w:val="32"/>
          <w:szCs w:val="32"/>
          <w:lang w:val="en-US" w:eastAsia="zh-CN" w:bidi="ar"/>
        </w:rPr>
        <w:t>12.</w:t>
      </w:r>
      <w:r>
        <w:rPr>
          <w:rFonts w:hint="eastAsia" w:ascii="Times New Roman" w:hAnsi="方正仿宋_GBK" w:eastAsia="方正仿宋_GBK" w:cs="方正仿宋_GBK"/>
          <w:b/>
          <w:bCs w:val="0"/>
          <w:kern w:val="2"/>
          <w:sz w:val="32"/>
          <w:szCs w:val="32"/>
          <w:lang w:val="en-US" w:eastAsia="zh-CN" w:bidi="ar"/>
        </w:rPr>
        <w:t>大力实施公交优先战略</w:t>
      </w:r>
      <w:r>
        <w:rPr>
          <w:rFonts w:hint="eastAsia" w:ascii="Times New Roman" w:hAnsi="方正仿宋_GBK" w:eastAsia="方正仿宋_GBK" w:cs="方正仿宋_GBK"/>
          <w:kern w:val="2"/>
          <w:sz w:val="32"/>
          <w:szCs w:val="32"/>
          <w:lang w:val="en-US" w:eastAsia="zh-CN" w:bidi="ar"/>
        </w:rPr>
        <w:t>。全面落实</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公交优先</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发展战略，根据《南川区公共交通规划（</w:t>
      </w:r>
      <w:r>
        <w:rPr>
          <w:rFonts w:hint="default" w:ascii="Times New Roman" w:hAnsi="Times New Roman" w:eastAsia="方正仿宋_GBK" w:cs="Times New Roman"/>
          <w:kern w:val="2"/>
          <w:sz w:val="32"/>
          <w:szCs w:val="32"/>
          <w:lang w:val="en-US" w:eastAsia="zh-CN" w:bidi="ar"/>
        </w:rPr>
        <w:t>2019-2035</w:t>
      </w:r>
      <w:r>
        <w:rPr>
          <w:rFonts w:hint="eastAsia" w:ascii="Times New Roman" w:hAnsi="方正仿宋_GBK" w:eastAsia="方正仿宋_GBK" w:cs="方正仿宋_GBK"/>
          <w:kern w:val="2"/>
          <w:sz w:val="32"/>
          <w:szCs w:val="32"/>
          <w:lang w:val="en-US" w:eastAsia="zh-CN" w:bidi="ar"/>
        </w:rPr>
        <w:t>年）》，当前要加快推进城区公交线路的优化设置，完善公交站台、站点、站牌、智能管理系统等配套设施建设，提升公共交通覆盖率、承载力和吸引力。后续有序推进公交枢纽站（高铁站、客运西站、客运中心站），首末站（东金华、永隆山、龙济），停车场建设，逐步完善公共交通系统，提高市民出行公交占比，缓解交通拥堵和</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停车难</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问题。</w:t>
      </w:r>
    </w:p>
    <w:p w14:paraId="0703D429">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5"/>
        <w:jc w:val="both"/>
        <w:textAlignment w:val="auto"/>
        <w:rPr>
          <w:szCs w:val="32"/>
          <w:lang w:val="en-US"/>
        </w:rPr>
      </w:pPr>
      <w:r>
        <w:rPr>
          <w:rFonts w:hint="eastAsia" w:ascii="Times New Roman" w:hAnsi="方正黑体_GBK" w:eastAsia="方正黑体_GBK" w:cs="方正黑体_GBK"/>
          <w:kern w:val="2"/>
          <w:sz w:val="32"/>
          <w:szCs w:val="32"/>
          <w:lang w:val="en-US" w:eastAsia="zh-CN" w:bidi="ar"/>
        </w:rPr>
        <w:t>三、组织保障</w:t>
      </w:r>
    </w:p>
    <w:p w14:paraId="6ADD2698">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5"/>
        <w:jc w:val="both"/>
        <w:textAlignment w:val="auto"/>
        <w:rPr>
          <w:szCs w:val="32"/>
          <w:lang w:val="en-US"/>
        </w:rPr>
      </w:pPr>
      <w:r>
        <w:rPr>
          <w:rFonts w:hint="eastAsia" w:ascii="Times New Roman" w:hAnsi="方正楷体_GBK" w:eastAsia="方正楷体_GBK" w:cs="方正楷体_GBK"/>
          <w:kern w:val="2"/>
          <w:sz w:val="32"/>
          <w:szCs w:val="32"/>
          <w:lang w:val="en-US" w:eastAsia="zh-CN" w:bidi="ar"/>
        </w:rPr>
        <w:t>（一）强化组织领导。</w:t>
      </w:r>
      <w:r>
        <w:rPr>
          <w:rFonts w:hint="eastAsia" w:ascii="Times New Roman" w:hAnsi="方正仿宋_GBK" w:eastAsia="方正仿宋_GBK" w:cs="方正仿宋_GBK"/>
          <w:kern w:val="2"/>
          <w:sz w:val="32"/>
          <w:szCs w:val="32"/>
          <w:lang w:val="en-US" w:eastAsia="zh-CN" w:bidi="ar"/>
        </w:rPr>
        <w:t>成立南川区停车治理工作领导小组，负责统筹协调城区停车治理工作，由区政府分管城市管理和公安交通管理的副区长任组长，区城市管理局、区公安交巡警支队主要负责人任副组长，区发展改革委、区经济信息委（区大数据发展局）、区财政局、区交通局、区规划自然资源局、区住房城乡建委、区商务委、区文化旅游委、工业园区管委会、商贸物流园区管委会、东城街道办事处、南城街道办事处、西城街道办事处、区城投集团、园业集团、昌达公司为成员单位。领导小组下设办公室在区城市管理局，由区城市管理局分管副局长任办公室主任，具体负责领导小组日常工作。各成员单位要各司其职、协调配合，形成工作合力，确保治理任务按时高质完成。</w:t>
      </w:r>
    </w:p>
    <w:p w14:paraId="33068E60">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5"/>
        <w:jc w:val="both"/>
        <w:textAlignment w:val="auto"/>
        <w:rPr>
          <w:szCs w:val="32"/>
          <w:lang w:val="en-US"/>
        </w:rPr>
      </w:pPr>
      <w:r>
        <w:rPr>
          <w:rFonts w:hint="eastAsia" w:ascii="Times New Roman" w:hAnsi="方正楷体_GBK" w:eastAsia="方正楷体_GBK" w:cs="方正楷体_GBK"/>
          <w:bCs/>
          <w:kern w:val="2"/>
          <w:sz w:val="32"/>
          <w:szCs w:val="32"/>
          <w:lang w:val="en-US" w:eastAsia="zh-CN" w:bidi="ar"/>
        </w:rPr>
        <w:t>（二）强化资金保障。</w:t>
      </w:r>
      <w:r>
        <w:rPr>
          <w:rFonts w:hint="eastAsia" w:ascii="Times New Roman" w:hAnsi="方正仿宋_GBK" w:eastAsia="方正仿宋_GBK" w:cs="方正仿宋_GBK"/>
          <w:kern w:val="2"/>
          <w:sz w:val="32"/>
          <w:szCs w:val="32"/>
          <w:lang w:val="en-US" w:eastAsia="zh-CN" w:bidi="ar"/>
        </w:rPr>
        <w:t>按照</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统筹兼顾、量力而行</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原则，多渠道筹集资金。一是鼓励社会资本参与，规范政府和社会资本合作模式，对收益较好的项目，鼓励社会资本以市场化投资为主开发运营。对机械式立体停车场、公共停车场等项目，可以通过合理确定收费标准、政府适当让渡项目收益权吸引社会资本参与。积极拓展配套服务功能，在不减少停车位的前提下，允许在附属经营设施区域开展美容、租赁、洗车、广告等增值服务。二是积极向上争取专项资金，支持停车设施建设、智能化改造等项目建设。三是创新金融支持方式，积极争取各级债券资金支持具有一定收益的停车项目，探索通过停车设施产权和使用权抵押等方式进行融资，缓解资金压力。</w:t>
      </w:r>
    </w:p>
    <w:p w14:paraId="468BB2F0">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5"/>
        <w:jc w:val="both"/>
        <w:textAlignment w:val="auto"/>
        <w:rPr>
          <w:szCs w:val="32"/>
          <w:lang w:val="en-US"/>
        </w:rPr>
      </w:pPr>
      <w:r>
        <w:rPr>
          <w:rFonts w:hint="eastAsia" w:ascii="Times New Roman" w:hAnsi="方正楷体_GBK" w:eastAsia="方正楷体_GBK" w:cs="方正楷体_GBK"/>
          <w:bCs/>
          <w:kern w:val="2"/>
          <w:sz w:val="32"/>
          <w:szCs w:val="32"/>
          <w:lang w:val="en-US" w:eastAsia="zh-CN" w:bidi="ar"/>
        </w:rPr>
        <w:t>（三）强化宣传引导。</w:t>
      </w:r>
      <w:r>
        <w:rPr>
          <w:rFonts w:hint="eastAsia" w:ascii="Times New Roman" w:hAnsi="方正仿宋_GBK" w:eastAsia="方正仿宋_GBK" w:cs="方正仿宋_GBK"/>
          <w:kern w:val="2"/>
          <w:sz w:val="32"/>
          <w:szCs w:val="32"/>
          <w:lang w:val="en-US" w:eastAsia="zh-CN" w:bidi="ar"/>
        </w:rPr>
        <w:t>加强停车管理政策和相关法律法规宣传，利用南川日报、电视台、微博、微信等媒体平台广泛宣传报道城区停车治理和道路交通秩序综合整治工作，在重要路段醒目位置设置违停整治</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提示牌</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，现场发放</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宣传告知单</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温馨提示单</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，向驾驶员推送禁止违法停车的短信、语音、视频。强化教育培训，定期召开交通违法行为警示教育培训班，开发线上学习教育模块，探索培训合格后不予处罚模式，引导市民规范、有序、文明停车。</w:t>
      </w:r>
    </w:p>
    <w:p w14:paraId="378A1028">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5"/>
        <w:jc w:val="both"/>
        <w:textAlignment w:val="auto"/>
        <w:rPr>
          <w:szCs w:val="32"/>
          <w:lang w:val="en-US"/>
        </w:rPr>
      </w:pPr>
    </w:p>
    <w:p w14:paraId="01C04C0A">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5"/>
        <w:jc w:val="both"/>
        <w:textAlignment w:val="auto"/>
        <w:rPr>
          <w:color w:val="000000"/>
          <w:szCs w:val="32"/>
          <w:lang w:val="en-US"/>
        </w:rPr>
      </w:pPr>
      <w:r>
        <w:rPr>
          <w:rFonts w:hint="eastAsia" w:ascii="Times New Roman" w:hAnsi="方正仿宋_GBK" w:eastAsia="方正仿宋_GBK" w:cs="方正仿宋_GBK"/>
          <w:kern w:val="2"/>
          <w:sz w:val="32"/>
          <w:szCs w:val="32"/>
          <w:lang w:val="en-US" w:eastAsia="zh-CN" w:bidi="ar"/>
        </w:rPr>
        <w:t>附件：南川中心城区停车治理重点任务分解表</w:t>
      </w:r>
    </w:p>
    <w:p w14:paraId="1DC77E44">
      <w:pPr>
        <w:keepNext w:val="0"/>
        <w:keepLines w:val="0"/>
        <w:pageBreakBefore w:val="0"/>
        <w:kinsoku/>
        <w:wordWrap/>
        <w:overflowPunct/>
        <w:topLinePunct w:val="0"/>
        <w:bidi w:val="0"/>
        <w:spacing w:line="600" w:lineRule="exact"/>
        <w:textAlignment w:val="auto"/>
        <w:rPr>
          <w:rFonts w:hint="default" w:ascii="Times New Roman" w:hAnsi="Times New Roman" w:eastAsia="方正仿宋_GBK" w:cs="Times New Roman"/>
          <w:color w:val="000000"/>
          <w:kern w:val="2"/>
          <w:sz w:val="21"/>
          <w:szCs w:val="22"/>
          <w:lang w:val="en-US" w:eastAsia="zh-CN" w:bidi="ar"/>
        </w:rPr>
        <w:sectPr>
          <w:headerReference r:id="rId3" w:type="default"/>
          <w:footerReference r:id="rId4" w:type="default"/>
          <w:pgSz w:w="11906" w:h="16838"/>
          <w:pgMar w:top="2098" w:right="1531" w:bottom="1985" w:left="1531" w:header="851" w:footer="1474" w:gutter="0"/>
          <w:pgBorders w:offsetFrom="page">
            <w:top w:val="none" w:sz="0" w:space="0"/>
            <w:left w:val="none" w:sz="0" w:space="0"/>
            <w:bottom w:val="none" w:sz="0" w:space="0"/>
            <w:right w:val="none" w:sz="0" w:space="0"/>
          </w:pgBorders>
          <w:pgNumType w:fmt="numberInDash"/>
          <w:cols w:space="0" w:num="1"/>
          <w:rtlGutter w:val="0"/>
          <w:docGrid w:type="lines" w:linePitch="579" w:charSpace="0"/>
        </w:sectPr>
      </w:pPr>
    </w:p>
    <w:p w14:paraId="5B5A45AF">
      <w:pPr>
        <w:pStyle w:val="9"/>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600" w:lineRule="exact"/>
        <w:ind w:left="0" w:right="0"/>
        <w:jc w:val="both"/>
        <w:textAlignment w:val="auto"/>
        <w:rPr>
          <w:rFonts w:hint="default" w:ascii="Times New Roman" w:hAnsi="Times New Roman" w:eastAsia="方正黑体_GBK" w:cs="Times New Roman"/>
          <w:color w:val="auto"/>
          <w:sz w:val="32"/>
          <w:szCs w:val="32"/>
          <w:lang w:val="en-US"/>
        </w:rPr>
      </w:pPr>
      <w:r>
        <w:rPr>
          <w:rFonts w:hint="eastAsia" w:ascii="Times New Roman" w:hAnsi="Times New Roman" w:eastAsia="方正黑体_GBK" w:cs="Times New Roman"/>
          <w:color w:val="auto"/>
          <w:kern w:val="0"/>
          <w:sz w:val="32"/>
          <w:szCs w:val="32"/>
          <w:lang w:val="en-US" w:eastAsia="zh-CN" w:bidi="ar"/>
        </w:rPr>
        <w:t>附件</w:t>
      </w:r>
    </w:p>
    <w:p w14:paraId="7C9C0C77">
      <w:pPr>
        <w:pStyle w:val="9"/>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600" w:lineRule="exact"/>
        <w:ind w:left="0" w:right="0"/>
        <w:jc w:val="center"/>
        <w:textAlignment w:val="auto"/>
        <w:rPr>
          <w:rFonts w:hint="default" w:ascii="Times New Roman" w:hAnsi="Times New Roman" w:eastAsia="方正小标宋_GBK" w:cs="Times New Roman"/>
          <w:color w:val="auto"/>
          <w:sz w:val="44"/>
          <w:szCs w:val="44"/>
          <w:lang w:val="en-US"/>
        </w:rPr>
      </w:pPr>
      <w:r>
        <w:rPr>
          <w:rFonts w:hint="eastAsia" w:ascii="Times New Roman" w:hAnsi="Times New Roman" w:eastAsia="方正小标宋_GBK" w:cs="Times New Roman"/>
          <w:color w:val="auto"/>
          <w:kern w:val="0"/>
          <w:sz w:val="44"/>
          <w:szCs w:val="44"/>
          <w:lang w:val="en-US" w:eastAsia="zh-CN" w:bidi="ar"/>
        </w:rPr>
        <w:t>南川中心城区停车治理重点任务分解表</w:t>
      </w:r>
    </w:p>
    <w:p w14:paraId="7D756AA3">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jc w:val="both"/>
        <w:textAlignment w:val="auto"/>
        <w:rPr>
          <w:szCs w:val="32"/>
          <w:lang w:val="en-US"/>
        </w:rPr>
      </w:pP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6"/>
        <w:gridCol w:w="936"/>
        <w:gridCol w:w="1145"/>
        <w:gridCol w:w="6554"/>
        <w:gridCol w:w="1788"/>
        <w:gridCol w:w="1833"/>
        <w:gridCol w:w="1696"/>
      </w:tblGrid>
      <w:tr w14:paraId="509FC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blHeader/>
          <w:jc w:val="center"/>
        </w:trPr>
        <w:tc>
          <w:tcPr>
            <w:tcW w:w="5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457FD7">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rFonts w:eastAsia="方正黑体_GBK"/>
                <w:kern w:val="0"/>
                <w:sz w:val="24"/>
                <w:szCs w:val="20"/>
                <w:lang w:val="en-US"/>
              </w:rPr>
            </w:pPr>
            <w:r>
              <w:rPr>
                <w:rFonts w:hint="eastAsia" w:ascii="Times New Roman" w:hAnsi="方正黑体_GBK" w:eastAsia="方正黑体_GBK" w:cs="方正黑体_GBK"/>
                <w:kern w:val="0"/>
                <w:sz w:val="24"/>
                <w:szCs w:val="20"/>
                <w:lang w:val="en-US" w:eastAsia="zh-CN" w:bidi="ar"/>
              </w:rPr>
              <w:t>序号</w:t>
            </w:r>
          </w:p>
        </w:tc>
        <w:tc>
          <w:tcPr>
            <w:tcW w:w="208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AA2084">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rFonts w:eastAsia="方正黑体_GBK"/>
                <w:kern w:val="0"/>
                <w:sz w:val="24"/>
                <w:szCs w:val="20"/>
                <w:lang w:val="en-US"/>
              </w:rPr>
            </w:pPr>
            <w:r>
              <w:rPr>
                <w:rFonts w:hint="eastAsia" w:ascii="Times New Roman" w:hAnsi="方正黑体_GBK" w:eastAsia="方正黑体_GBK" w:cs="方正黑体_GBK"/>
                <w:kern w:val="0"/>
                <w:sz w:val="24"/>
                <w:szCs w:val="20"/>
                <w:lang w:val="en-US" w:eastAsia="zh-CN" w:bidi="ar"/>
              </w:rPr>
              <w:t>实施内容</w:t>
            </w:r>
          </w:p>
        </w:tc>
        <w:tc>
          <w:tcPr>
            <w:tcW w:w="65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FE42F5">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rFonts w:eastAsia="方正黑体_GBK"/>
                <w:kern w:val="0"/>
                <w:sz w:val="24"/>
                <w:szCs w:val="20"/>
                <w:lang w:val="en-US"/>
              </w:rPr>
            </w:pPr>
            <w:r>
              <w:rPr>
                <w:rFonts w:hint="eastAsia" w:ascii="Times New Roman" w:hAnsi="方正黑体_GBK" w:eastAsia="方正黑体_GBK" w:cs="方正黑体_GBK"/>
                <w:kern w:val="0"/>
                <w:sz w:val="24"/>
                <w:szCs w:val="20"/>
                <w:lang w:val="en-US" w:eastAsia="zh-CN" w:bidi="ar"/>
              </w:rPr>
              <w:t>具体措施</w:t>
            </w:r>
          </w:p>
        </w:tc>
        <w:tc>
          <w:tcPr>
            <w:tcW w:w="17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BFFA61">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rFonts w:eastAsia="方正黑体_GBK"/>
                <w:kern w:val="0"/>
                <w:sz w:val="24"/>
                <w:szCs w:val="20"/>
                <w:lang w:val="en-US"/>
              </w:rPr>
            </w:pPr>
            <w:r>
              <w:rPr>
                <w:rFonts w:hint="eastAsia" w:ascii="Times New Roman" w:hAnsi="方正黑体_GBK" w:eastAsia="方正黑体_GBK" w:cs="方正黑体_GBK"/>
                <w:kern w:val="0"/>
                <w:sz w:val="24"/>
                <w:szCs w:val="20"/>
                <w:lang w:val="en-US" w:eastAsia="zh-CN" w:bidi="ar"/>
              </w:rPr>
              <w:t>责任单位</w:t>
            </w:r>
          </w:p>
        </w:tc>
        <w:tc>
          <w:tcPr>
            <w:tcW w:w="18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D4D17C">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rFonts w:eastAsia="方正黑体_GBK"/>
                <w:kern w:val="0"/>
                <w:sz w:val="24"/>
                <w:szCs w:val="20"/>
                <w:lang w:val="en-US"/>
              </w:rPr>
            </w:pPr>
            <w:r>
              <w:rPr>
                <w:rFonts w:hint="eastAsia" w:ascii="Times New Roman" w:hAnsi="方正黑体_GBK" w:eastAsia="方正黑体_GBK" w:cs="方正黑体_GBK"/>
                <w:kern w:val="0"/>
                <w:sz w:val="24"/>
                <w:szCs w:val="20"/>
                <w:lang w:val="en-US" w:eastAsia="zh-CN" w:bidi="ar"/>
              </w:rPr>
              <w:t>配合单位</w:t>
            </w:r>
          </w:p>
        </w:tc>
        <w:tc>
          <w:tcPr>
            <w:tcW w:w="16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FA337B">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rFonts w:eastAsia="方正黑体_GBK"/>
                <w:kern w:val="0"/>
                <w:sz w:val="24"/>
                <w:szCs w:val="20"/>
                <w:lang w:val="en-US"/>
              </w:rPr>
            </w:pPr>
            <w:r>
              <w:rPr>
                <w:rFonts w:hint="eastAsia" w:ascii="Times New Roman" w:hAnsi="方正黑体_GBK" w:eastAsia="方正黑体_GBK" w:cs="方正黑体_GBK"/>
                <w:kern w:val="0"/>
                <w:sz w:val="24"/>
                <w:szCs w:val="20"/>
                <w:lang w:val="en-US" w:eastAsia="zh-CN" w:bidi="ar"/>
              </w:rPr>
              <w:t>完成时限</w:t>
            </w:r>
          </w:p>
        </w:tc>
      </w:tr>
      <w:tr w14:paraId="3F45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blHeader/>
          <w:jc w:val="center"/>
        </w:trPr>
        <w:tc>
          <w:tcPr>
            <w:tcW w:w="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F1F563">
            <w:pPr>
              <w:keepNext w:val="0"/>
              <w:keepLines w:val="0"/>
              <w:pageBreakBefore w:val="0"/>
              <w:suppressLineNumbers w:val="0"/>
              <w:kinsoku/>
              <w:wordWrap/>
              <w:overflowPunct/>
              <w:topLinePunct w:val="0"/>
              <w:bidi w:val="0"/>
              <w:spacing w:before="0" w:beforeAutospacing="0" w:after="0" w:afterAutospacing="0" w:line="600" w:lineRule="exact"/>
              <w:ind w:left="0" w:right="0"/>
              <w:textAlignment w:val="auto"/>
              <w:rPr>
                <w:rFonts w:hint="default" w:ascii="Calibri" w:hAnsi="Calibri" w:eastAsia="宋体" w:cs="Times New Roman"/>
                <w:kern w:val="2"/>
                <w:sz w:val="21"/>
                <w:szCs w:val="22"/>
              </w:rPr>
            </w:pPr>
          </w:p>
        </w:tc>
        <w:tc>
          <w:tcPr>
            <w:tcW w:w="208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D443F1">
            <w:pPr>
              <w:keepNext w:val="0"/>
              <w:keepLines w:val="0"/>
              <w:pageBreakBefore w:val="0"/>
              <w:suppressLineNumbers w:val="0"/>
              <w:kinsoku/>
              <w:wordWrap/>
              <w:overflowPunct/>
              <w:topLinePunct w:val="0"/>
              <w:bidi w:val="0"/>
              <w:spacing w:before="0" w:beforeAutospacing="0" w:after="0" w:afterAutospacing="0" w:line="600" w:lineRule="exact"/>
              <w:ind w:left="0" w:right="0"/>
              <w:textAlignment w:val="auto"/>
              <w:rPr>
                <w:rFonts w:hint="default" w:ascii="Calibri" w:hAnsi="Calibri" w:eastAsia="宋体" w:cs="Times New Roman"/>
                <w:kern w:val="2"/>
                <w:sz w:val="21"/>
                <w:szCs w:val="22"/>
              </w:rPr>
            </w:pPr>
          </w:p>
        </w:tc>
        <w:tc>
          <w:tcPr>
            <w:tcW w:w="65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816F3F">
            <w:pPr>
              <w:keepNext w:val="0"/>
              <w:keepLines w:val="0"/>
              <w:pageBreakBefore w:val="0"/>
              <w:suppressLineNumbers w:val="0"/>
              <w:kinsoku/>
              <w:wordWrap/>
              <w:overflowPunct/>
              <w:topLinePunct w:val="0"/>
              <w:bidi w:val="0"/>
              <w:spacing w:before="0" w:beforeAutospacing="0" w:after="0" w:afterAutospacing="0" w:line="600" w:lineRule="exact"/>
              <w:ind w:left="0" w:right="0"/>
              <w:textAlignment w:val="auto"/>
              <w:rPr>
                <w:rFonts w:hint="default" w:ascii="Calibri" w:hAnsi="Calibri" w:eastAsia="宋体" w:cs="Times New Roman"/>
                <w:kern w:val="2"/>
                <w:sz w:val="21"/>
                <w:szCs w:val="22"/>
              </w:rPr>
            </w:pPr>
          </w:p>
        </w:tc>
        <w:tc>
          <w:tcPr>
            <w:tcW w:w="1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2EEBB4">
            <w:pPr>
              <w:keepNext w:val="0"/>
              <w:keepLines w:val="0"/>
              <w:pageBreakBefore w:val="0"/>
              <w:suppressLineNumbers w:val="0"/>
              <w:kinsoku/>
              <w:wordWrap/>
              <w:overflowPunct/>
              <w:topLinePunct w:val="0"/>
              <w:bidi w:val="0"/>
              <w:spacing w:before="0" w:beforeAutospacing="0" w:after="0" w:afterAutospacing="0" w:line="600" w:lineRule="exact"/>
              <w:ind w:left="0" w:right="0"/>
              <w:textAlignment w:val="auto"/>
              <w:rPr>
                <w:rFonts w:hint="default" w:ascii="Calibri" w:hAnsi="Calibri" w:eastAsia="宋体" w:cs="Times New Roman"/>
                <w:kern w:val="2"/>
                <w:sz w:val="21"/>
                <w:szCs w:val="22"/>
              </w:rPr>
            </w:pPr>
          </w:p>
        </w:tc>
        <w:tc>
          <w:tcPr>
            <w:tcW w:w="18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6B0F82">
            <w:pPr>
              <w:keepNext w:val="0"/>
              <w:keepLines w:val="0"/>
              <w:pageBreakBefore w:val="0"/>
              <w:suppressLineNumbers w:val="0"/>
              <w:kinsoku/>
              <w:wordWrap/>
              <w:overflowPunct/>
              <w:topLinePunct w:val="0"/>
              <w:bidi w:val="0"/>
              <w:spacing w:before="0" w:beforeAutospacing="0" w:after="0" w:afterAutospacing="0" w:line="600" w:lineRule="exact"/>
              <w:ind w:left="0" w:right="0"/>
              <w:textAlignment w:val="auto"/>
              <w:rPr>
                <w:rFonts w:hint="default" w:ascii="Calibri" w:hAnsi="Calibri" w:eastAsia="宋体" w:cs="Times New Roman"/>
                <w:kern w:val="2"/>
                <w:sz w:val="21"/>
                <w:szCs w:val="22"/>
              </w:rPr>
            </w:pPr>
          </w:p>
        </w:tc>
        <w:tc>
          <w:tcPr>
            <w:tcW w:w="1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45FEC3">
            <w:pPr>
              <w:keepNext w:val="0"/>
              <w:keepLines w:val="0"/>
              <w:pageBreakBefore w:val="0"/>
              <w:suppressLineNumbers w:val="0"/>
              <w:kinsoku/>
              <w:wordWrap/>
              <w:overflowPunct/>
              <w:topLinePunct w:val="0"/>
              <w:bidi w:val="0"/>
              <w:spacing w:before="0" w:beforeAutospacing="0" w:after="0" w:afterAutospacing="0" w:line="600" w:lineRule="exact"/>
              <w:ind w:left="0" w:right="0"/>
              <w:textAlignment w:val="auto"/>
              <w:rPr>
                <w:rFonts w:hint="default" w:ascii="Calibri" w:hAnsi="Calibri" w:eastAsia="宋体" w:cs="Times New Roman"/>
                <w:kern w:val="2"/>
                <w:sz w:val="21"/>
                <w:szCs w:val="22"/>
              </w:rPr>
            </w:pPr>
          </w:p>
        </w:tc>
      </w:tr>
      <w:tr w14:paraId="28F2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526" w:type="dxa"/>
            <w:tcBorders>
              <w:top w:val="nil"/>
              <w:left w:val="single" w:color="auto" w:sz="4" w:space="0"/>
              <w:bottom w:val="single" w:color="auto" w:sz="4" w:space="0"/>
              <w:right w:val="single" w:color="auto" w:sz="4" w:space="0"/>
            </w:tcBorders>
            <w:shd w:val="clear" w:color="auto" w:fill="auto"/>
            <w:vAlign w:val="center"/>
          </w:tcPr>
          <w:p w14:paraId="522801D2">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1</w:t>
            </w:r>
          </w:p>
        </w:tc>
        <w:tc>
          <w:tcPr>
            <w:tcW w:w="936" w:type="dxa"/>
            <w:tcBorders>
              <w:top w:val="nil"/>
              <w:left w:val="nil"/>
              <w:bottom w:val="single" w:color="auto" w:sz="4" w:space="0"/>
              <w:right w:val="single" w:color="auto" w:sz="4" w:space="0"/>
            </w:tcBorders>
            <w:shd w:val="clear" w:color="auto" w:fill="auto"/>
            <w:vAlign w:val="center"/>
          </w:tcPr>
          <w:p w14:paraId="21ECCDC6">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rFonts w:eastAsia="方正楷体_GBK"/>
                <w:kern w:val="0"/>
                <w:sz w:val="24"/>
                <w:szCs w:val="20"/>
                <w:lang w:val="en-US"/>
              </w:rPr>
            </w:pPr>
            <w:r>
              <w:rPr>
                <w:rFonts w:hint="eastAsia" w:ascii="Times New Roman" w:hAnsi="方正楷体_GBK" w:eastAsia="方正楷体_GBK" w:cs="方正楷体_GBK"/>
                <w:kern w:val="0"/>
                <w:sz w:val="24"/>
                <w:szCs w:val="20"/>
                <w:lang w:val="en-US" w:eastAsia="zh-CN" w:bidi="ar"/>
              </w:rPr>
              <w:t>（一）解决机非人流混行问题</w:t>
            </w:r>
          </w:p>
        </w:tc>
        <w:tc>
          <w:tcPr>
            <w:tcW w:w="1145" w:type="dxa"/>
            <w:tcBorders>
              <w:top w:val="nil"/>
              <w:left w:val="nil"/>
              <w:bottom w:val="single" w:color="auto" w:sz="4" w:space="0"/>
              <w:right w:val="single" w:color="auto" w:sz="4" w:space="0"/>
            </w:tcBorders>
            <w:shd w:val="clear" w:color="auto" w:fill="auto"/>
            <w:vAlign w:val="center"/>
          </w:tcPr>
          <w:p w14:paraId="3A94120F">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b/>
                <w:bCs/>
                <w:kern w:val="0"/>
                <w:sz w:val="24"/>
                <w:szCs w:val="20"/>
                <w:lang w:val="en-US"/>
              </w:rPr>
            </w:pPr>
            <w:r>
              <w:rPr>
                <w:rFonts w:hint="default" w:ascii="Times New Roman" w:hAnsi="Times New Roman" w:eastAsia="方正仿宋_GBK" w:cs="Times New Roman"/>
                <w:b/>
                <w:bCs/>
                <w:kern w:val="0"/>
                <w:sz w:val="24"/>
                <w:szCs w:val="20"/>
                <w:lang w:val="en-US" w:eastAsia="zh-CN" w:bidi="ar"/>
              </w:rPr>
              <w:t>1.</w:t>
            </w:r>
            <w:r>
              <w:rPr>
                <w:rFonts w:hint="eastAsia" w:ascii="Times New Roman" w:hAnsi="方正仿宋_GBK" w:eastAsia="方正仿宋_GBK" w:cs="方正仿宋_GBK"/>
                <w:b/>
                <w:bCs/>
                <w:kern w:val="0"/>
                <w:sz w:val="24"/>
                <w:szCs w:val="20"/>
                <w:lang w:val="en-US" w:eastAsia="zh-CN" w:bidi="ar"/>
              </w:rPr>
              <w:t>严格实施新城机非分离</w:t>
            </w:r>
          </w:p>
        </w:tc>
        <w:tc>
          <w:tcPr>
            <w:tcW w:w="6554" w:type="dxa"/>
            <w:tcBorders>
              <w:top w:val="nil"/>
              <w:left w:val="nil"/>
              <w:bottom w:val="single" w:color="auto" w:sz="4" w:space="0"/>
              <w:right w:val="single" w:color="auto" w:sz="4" w:space="0"/>
            </w:tcBorders>
            <w:shd w:val="clear" w:color="auto" w:fill="auto"/>
            <w:vAlign w:val="center"/>
          </w:tcPr>
          <w:p w14:paraId="00D99FD2">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取消西大街以西占用车行道（非机动车道）施划的</w:t>
            </w:r>
            <w:r>
              <w:rPr>
                <w:rFonts w:hint="default" w:ascii="Times New Roman" w:hAnsi="Times New Roman" w:eastAsia="方正仿宋_GBK" w:cs="Times New Roman"/>
                <w:kern w:val="0"/>
                <w:sz w:val="24"/>
                <w:szCs w:val="20"/>
                <w:lang w:val="en-US" w:eastAsia="zh-CN" w:bidi="ar"/>
              </w:rPr>
              <w:t>558</w:t>
            </w:r>
            <w:r>
              <w:rPr>
                <w:rFonts w:hint="eastAsia" w:ascii="Times New Roman" w:hAnsi="方正仿宋_GBK" w:eastAsia="方正仿宋_GBK" w:cs="方正仿宋_GBK"/>
                <w:kern w:val="0"/>
                <w:sz w:val="24"/>
                <w:szCs w:val="20"/>
                <w:lang w:val="en-US" w:eastAsia="zh-CN" w:bidi="ar"/>
              </w:rPr>
              <w:t>个路内停车位，完善非机动车道专用标志、标线、灯控等设施，加强执法监管和宣传引导，实现机非分离。取消南园路（高速路转盘至南园路桥段）</w:t>
            </w:r>
            <w:r>
              <w:rPr>
                <w:rFonts w:hint="default" w:ascii="Times New Roman" w:hAnsi="Times New Roman" w:eastAsia="方正仿宋_GBK" w:cs="Times New Roman"/>
                <w:kern w:val="0"/>
                <w:sz w:val="24"/>
                <w:szCs w:val="20"/>
                <w:lang w:val="en-US" w:eastAsia="zh-CN" w:bidi="ar"/>
              </w:rPr>
              <w:t>28</w:t>
            </w:r>
            <w:r>
              <w:rPr>
                <w:rFonts w:hint="eastAsia" w:ascii="Times New Roman" w:hAnsi="方正仿宋_GBK" w:eastAsia="方正仿宋_GBK" w:cs="方正仿宋_GBK"/>
                <w:kern w:val="0"/>
                <w:sz w:val="24"/>
                <w:szCs w:val="20"/>
                <w:lang w:val="en-US" w:eastAsia="zh-CN" w:bidi="ar"/>
              </w:rPr>
              <w:t>个路内停车位。</w:t>
            </w:r>
          </w:p>
        </w:tc>
        <w:tc>
          <w:tcPr>
            <w:tcW w:w="1788" w:type="dxa"/>
            <w:tcBorders>
              <w:top w:val="nil"/>
              <w:left w:val="nil"/>
              <w:bottom w:val="single" w:color="auto" w:sz="4" w:space="0"/>
              <w:right w:val="single" w:color="auto" w:sz="4" w:space="0"/>
            </w:tcBorders>
            <w:shd w:val="clear" w:color="auto" w:fill="auto"/>
            <w:vAlign w:val="center"/>
          </w:tcPr>
          <w:p w14:paraId="3DB17659">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区城市管理局、区城投集团</w:t>
            </w:r>
          </w:p>
        </w:tc>
        <w:tc>
          <w:tcPr>
            <w:tcW w:w="1833" w:type="dxa"/>
            <w:tcBorders>
              <w:top w:val="nil"/>
              <w:left w:val="nil"/>
              <w:bottom w:val="single" w:color="auto" w:sz="4" w:space="0"/>
              <w:right w:val="single" w:color="auto" w:sz="4" w:space="0"/>
            </w:tcBorders>
            <w:shd w:val="clear" w:color="auto" w:fill="auto"/>
            <w:vAlign w:val="center"/>
          </w:tcPr>
          <w:p w14:paraId="585C00A4">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区公安交巡警支队</w:t>
            </w:r>
          </w:p>
        </w:tc>
        <w:tc>
          <w:tcPr>
            <w:tcW w:w="1696" w:type="dxa"/>
            <w:tcBorders>
              <w:top w:val="nil"/>
              <w:left w:val="nil"/>
              <w:bottom w:val="single" w:color="auto" w:sz="4" w:space="0"/>
              <w:right w:val="single" w:color="auto" w:sz="4" w:space="0"/>
            </w:tcBorders>
            <w:shd w:val="clear" w:color="auto" w:fill="auto"/>
            <w:vAlign w:val="center"/>
          </w:tcPr>
          <w:p w14:paraId="2AE2E131">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2022</w:t>
            </w:r>
            <w:r>
              <w:rPr>
                <w:rFonts w:hint="eastAsia" w:ascii="Times New Roman" w:hAnsi="方正仿宋_GBK" w:eastAsia="方正仿宋_GBK" w:cs="方正仿宋_GBK"/>
                <w:kern w:val="0"/>
                <w:sz w:val="24"/>
                <w:szCs w:val="20"/>
                <w:lang w:val="en-US" w:eastAsia="zh-CN" w:bidi="ar"/>
              </w:rPr>
              <w:t>年</w:t>
            </w:r>
            <w:r>
              <w:rPr>
                <w:rFonts w:hint="default" w:ascii="Times New Roman" w:hAnsi="Times New Roman" w:eastAsia="方正仿宋_GBK" w:cs="Times New Roman"/>
                <w:kern w:val="0"/>
                <w:sz w:val="24"/>
                <w:szCs w:val="20"/>
                <w:lang w:val="en-US" w:eastAsia="zh-CN" w:bidi="ar"/>
              </w:rPr>
              <w:t>8</w:t>
            </w:r>
            <w:r>
              <w:rPr>
                <w:rFonts w:hint="eastAsia" w:ascii="Times New Roman" w:hAnsi="方正仿宋_GBK" w:eastAsia="方正仿宋_GBK" w:cs="方正仿宋_GBK"/>
                <w:kern w:val="0"/>
                <w:sz w:val="24"/>
                <w:szCs w:val="20"/>
                <w:lang w:val="en-US" w:eastAsia="zh-CN" w:bidi="ar"/>
              </w:rPr>
              <w:t>月</w:t>
            </w:r>
            <w:r>
              <w:rPr>
                <w:rFonts w:hint="default" w:ascii="Times New Roman" w:hAnsi="Times New Roman" w:eastAsia="方正仿宋_GBK" w:cs="Times New Roman"/>
                <w:kern w:val="0"/>
                <w:sz w:val="24"/>
                <w:szCs w:val="20"/>
                <w:lang w:val="en-US" w:eastAsia="zh-CN" w:bidi="ar"/>
              </w:rPr>
              <w:t>31</w:t>
            </w:r>
            <w:r>
              <w:rPr>
                <w:rFonts w:hint="eastAsia" w:ascii="Times New Roman" w:hAnsi="方正仿宋_GBK" w:eastAsia="方正仿宋_GBK" w:cs="方正仿宋_GBK"/>
                <w:kern w:val="0"/>
                <w:sz w:val="24"/>
                <w:szCs w:val="20"/>
                <w:lang w:val="en-US" w:eastAsia="zh-CN" w:bidi="ar"/>
              </w:rPr>
              <w:t>日前</w:t>
            </w:r>
          </w:p>
        </w:tc>
      </w:tr>
      <w:tr w14:paraId="0BD6A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526" w:type="dxa"/>
            <w:tcBorders>
              <w:top w:val="nil"/>
              <w:left w:val="single" w:color="auto" w:sz="4" w:space="0"/>
              <w:bottom w:val="single" w:color="auto" w:sz="4" w:space="0"/>
              <w:right w:val="single" w:color="auto" w:sz="4" w:space="0"/>
            </w:tcBorders>
            <w:shd w:val="clear" w:color="auto" w:fill="auto"/>
            <w:vAlign w:val="center"/>
          </w:tcPr>
          <w:p w14:paraId="0A5CB765">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2</w:t>
            </w:r>
          </w:p>
        </w:tc>
        <w:tc>
          <w:tcPr>
            <w:tcW w:w="936" w:type="dxa"/>
            <w:vMerge w:val="restart"/>
            <w:tcBorders>
              <w:top w:val="nil"/>
              <w:left w:val="nil"/>
              <w:bottom w:val="single" w:color="auto" w:sz="4" w:space="0"/>
              <w:right w:val="single" w:color="auto" w:sz="4" w:space="0"/>
            </w:tcBorders>
            <w:shd w:val="clear" w:color="auto" w:fill="auto"/>
            <w:vAlign w:val="center"/>
          </w:tcPr>
          <w:p w14:paraId="2F52C45A">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rFonts w:eastAsia="方正楷体_GBK"/>
                <w:kern w:val="0"/>
                <w:sz w:val="24"/>
                <w:szCs w:val="20"/>
                <w:lang w:val="en-US"/>
              </w:rPr>
            </w:pPr>
            <w:r>
              <w:rPr>
                <w:rFonts w:hint="eastAsia" w:ascii="Times New Roman" w:hAnsi="方正楷体_GBK" w:eastAsia="方正楷体_GBK" w:cs="方正楷体_GBK"/>
                <w:kern w:val="0"/>
                <w:sz w:val="24"/>
                <w:szCs w:val="20"/>
                <w:lang w:val="en-US" w:eastAsia="zh-CN" w:bidi="ar"/>
              </w:rPr>
              <w:t>（二）</w:t>
            </w:r>
            <w:r>
              <w:rPr>
                <w:rFonts w:hint="default" w:ascii="Times New Roman" w:hAnsi="Times New Roman" w:eastAsia="方正楷体_GBK" w:cs="Times New Roman"/>
                <w:kern w:val="0"/>
                <w:sz w:val="24"/>
                <w:szCs w:val="20"/>
                <w:lang w:val="en-US" w:eastAsia="zh-CN" w:bidi="ar"/>
              </w:rPr>
              <w:br w:type="textWrapping"/>
            </w:r>
            <w:r>
              <w:rPr>
                <w:rFonts w:hint="eastAsia" w:ascii="Times New Roman" w:hAnsi="方正楷体_GBK" w:eastAsia="方正楷体_GBK" w:cs="方正楷体_GBK"/>
                <w:kern w:val="0"/>
                <w:sz w:val="24"/>
                <w:szCs w:val="20"/>
                <w:lang w:val="en-US" w:eastAsia="zh-CN" w:bidi="ar"/>
              </w:rPr>
              <w:t>解决停车资源闲置问题</w:t>
            </w:r>
          </w:p>
        </w:tc>
        <w:tc>
          <w:tcPr>
            <w:tcW w:w="1145" w:type="dxa"/>
            <w:tcBorders>
              <w:top w:val="nil"/>
              <w:left w:val="nil"/>
              <w:bottom w:val="single" w:color="auto" w:sz="4" w:space="0"/>
              <w:right w:val="single" w:color="auto" w:sz="4" w:space="0"/>
            </w:tcBorders>
            <w:shd w:val="clear" w:color="auto" w:fill="auto"/>
            <w:vAlign w:val="center"/>
          </w:tcPr>
          <w:p w14:paraId="7400FD4C">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b/>
                <w:bCs/>
                <w:kern w:val="0"/>
                <w:sz w:val="24"/>
                <w:szCs w:val="20"/>
                <w:lang w:val="en-US"/>
              </w:rPr>
            </w:pPr>
            <w:r>
              <w:rPr>
                <w:rFonts w:hint="default" w:ascii="Times New Roman" w:hAnsi="Times New Roman" w:eastAsia="方正仿宋_GBK" w:cs="Times New Roman"/>
                <w:b/>
                <w:bCs/>
                <w:kern w:val="0"/>
                <w:sz w:val="24"/>
                <w:szCs w:val="20"/>
                <w:lang w:val="en-US" w:eastAsia="zh-CN" w:bidi="ar"/>
              </w:rPr>
              <w:t>2.</w:t>
            </w:r>
            <w:r>
              <w:rPr>
                <w:rFonts w:hint="eastAsia" w:ascii="Times New Roman" w:hAnsi="方正仿宋_GBK" w:eastAsia="方正仿宋_GBK" w:cs="方正仿宋_GBK"/>
                <w:b/>
                <w:bCs/>
                <w:kern w:val="0"/>
                <w:sz w:val="24"/>
                <w:szCs w:val="20"/>
                <w:lang w:val="en-US" w:eastAsia="zh-CN" w:bidi="ar"/>
              </w:rPr>
              <w:t>合理优化车位配建标准</w:t>
            </w:r>
          </w:p>
        </w:tc>
        <w:tc>
          <w:tcPr>
            <w:tcW w:w="6554" w:type="dxa"/>
            <w:tcBorders>
              <w:top w:val="nil"/>
              <w:left w:val="nil"/>
              <w:bottom w:val="single" w:color="auto" w:sz="4" w:space="0"/>
              <w:right w:val="single" w:color="auto" w:sz="4" w:space="0"/>
            </w:tcBorders>
            <w:shd w:val="clear" w:color="auto" w:fill="auto"/>
            <w:vAlign w:val="center"/>
          </w:tcPr>
          <w:p w14:paraId="1BCD804D">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进一步优化细化新建建筑物停车位配建指标，合理调控停车位增速和布局，对居住区、学校、医院周边等要优先满足，对其他区域要合理控制。</w:t>
            </w:r>
          </w:p>
        </w:tc>
        <w:tc>
          <w:tcPr>
            <w:tcW w:w="1788" w:type="dxa"/>
            <w:tcBorders>
              <w:top w:val="nil"/>
              <w:left w:val="nil"/>
              <w:bottom w:val="single" w:color="auto" w:sz="4" w:space="0"/>
              <w:right w:val="single" w:color="auto" w:sz="4" w:space="0"/>
            </w:tcBorders>
            <w:shd w:val="clear" w:color="auto" w:fill="auto"/>
            <w:vAlign w:val="center"/>
          </w:tcPr>
          <w:p w14:paraId="3B06275A">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区规划自然资源局</w:t>
            </w:r>
          </w:p>
        </w:tc>
        <w:tc>
          <w:tcPr>
            <w:tcW w:w="1833" w:type="dxa"/>
            <w:tcBorders>
              <w:top w:val="nil"/>
              <w:left w:val="nil"/>
              <w:bottom w:val="single" w:color="auto" w:sz="4" w:space="0"/>
              <w:right w:val="single" w:color="auto" w:sz="4" w:space="0"/>
            </w:tcBorders>
            <w:shd w:val="clear" w:color="auto" w:fill="auto"/>
            <w:vAlign w:val="center"/>
          </w:tcPr>
          <w:p w14:paraId="4262B805">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区住房城乡建委、区城市管理局</w:t>
            </w:r>
          </w:p>
        </w:tc>
        <w:tc>
          <w:tcPr>
            <w:tcW w:w="1696" w:type="dxa"/>
            <w:tcBorders>
              <w:top w:val="nil"/>
              <w:left w:val="nil"/>
              <w:bottom w:val="single" w:color="auto" w:sz="4" w:space="0"/>
              <w:right w:val="single" w:color="auto" w:sz="4" w:space="0"/>
            </w:tcBorders>
            <w:shd w:val="clear" w:color="auto" w:fill="auto"/>
            <w:vAlign w:val="center"/>
          </w:tcPr>
          <w:p w14:paraId="4E5D59F2">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常态化开展</w:t>
            </w:r>
          </w:p>
        </w:tc>
      </w:tr>
      <w:tr w14:paraId="34DD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jc w:val="center"/>
        </w:trPr>
        <w:tc>
          <w:tcPr>
            <w:tcW w:w="526" w:type="dxa"/>
            <w:tcBorders>
              <w:top w:val="nil"/>
              <w:left w:val="single" w:color="auto" w:sz="4" w:space="0"/>
              <w:bottom w:val="single" w:color="auto" w:sz="4" w:space="0"/>
              <w:right w:val="single" w:color="auto" w:sz="4" w:space="0"/>
            </w:tcBorders>
            <w:shd w:val="clear" w:color="auto" w:fill="auto"/>
            <w:vAlign w:val="center"/>
          </w:tcPr>
          <w:p w14:paraId="671786B0">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3</w:t>
            </w:r>
          </w:p>
        </w:tc>
        <w:tc>
          <w:tcPr>
            <w:tcW w:w="936" w:type="dxa"/>
            <w:vMerge w:val="continue"/>
            <w:tcBorders>
              <w:top w:val="nil"/>
              <w:left w:val="nil"/>
              <w:bottom w:val="single" w:color="auto" w:sz="4" w:space="0"/>
              <w:right w:val="single" w:color="auto" w:sz="4" w:space="0"/>
            </w:tcBorders>
            <w:shd w:val="clear" w:color="auto" w:fill="auto"/>
            <w:vAlign w:val="center"/>
          </w:tcPr>
          <w:p w14:paraId="2DBFF726">
            <w:pPr>
              <w:keepNext w:val="0"/>
              <w:keepLines w:val="0"/>
              <w:pageBreakBefore w:val="0"/>
              <w:suppressLineNumbers w:val="0"/>
              <w:kinsoku/>
              <w:wordWrap/>
              <w:overflowPunct/>
              <w:topLinePunct w:val="0"/>
              <w:bidi w:val="0"/>
              <w:spacing w:before="0" w:beforeAutospacing="0" w:after="0" w:afterAutospacing="0" w:line="600" w:lineRule="exact"/>
              <w:ind w:left="0" w:right="0"/>
              <w:textAlignment w:val="auto"/>
              <w:rPr>
                <w:rFonts w:hint="default" w:ascii="Calibri" w:hAnsi="Calibri" w:eastAsia="宋体" w:cs="Times New Roman"/>
                <w:kern w:val="2"/>
                <w:sz w:val="21"/>
                <w:szCs w:val="22"/>
              </w:rPr>
            </w:pPr>
          </w:p>
        </w:tc>
        <w:tc>
          <w:tcPr>
            <w:tcW w:w="1145" w:type="dxa"/>
            <w:vMerge w:val="restart"/>
            <w:tcBorders>
              <w:top w:val="nil"/>
              <w:left w:val="single" w:color="auto" w:sz="4" w:space="0"/>
              <w:bottom w:val="single" w:color="auto" w:sz="4" w:space="0"/>
              <w:right w:val="single" w:color="auto" w:sz="4" w:space="0"/>
            </w:tcBorders>
            <w:shd w:val="clear" w:color="auto" w:fill="auto"/>
            <w:vAlign w:val="center"/>
          </w:tcPr>
          <w:p w14:paraId="4C6B24AF">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b/>
                <w:bCs/>
                <w:kern w:val="0"/>
                <w:sz w:val="24"/>
                <w:szCs w:val="20"/>
                <w:lang w:val="en-US"/>
              </w:rPr>
            </w:pPr>
            <w:r>
              <w:rPr>
                <w:rFonts w:hint="default" w:ascii="Times New Roman" w:hAnsi="Times New Roman" w:eastAsia="方正仿宋_GBK" w:cs="Times New Roman"/>
                <w:b/>
                <w:bCs/>
                <w:kern w:val="0"/>
                <w:sz w:val="24"/>
                <w:szCs w:val="20"/>
                <w:lang w:val="en-US" w:eastAsia="zh-CN" w:bidi="ar"/>
              </w:rPr>
              <w:t>3.</w:t>
            </w:r>
            <w:r>
              <w:rPr>
                <w:rFonts w:hint="eastAsia" w:ascii="Times New Roman" w:hAnsi="方正仿宋_GBK" w:eastAsia="方正仿宋_GBK" w:cs="方正仿宋_GBK"/>
                <w:b/>
                <w:bCs/>
                <w:kern w:val="0"/>
                <w:sz w:val="24"/>
                <w:szCs w:val="20"/>
                <w:lang w:val="en-US" w:eastAsia="zh-CN" w:bidi="ar"/>
              </w:rPr>
              <w:t>全面恢复路内停车收费</w:t>
            </w:r>
          </w:p>
        </w:tc>
        <w:tc>
          <w:tcPr>
            <w:tcW w:w="6554" w:type="dxa"/>
            <w:tcBorders>
              <w:top w:val="nil"/>
              <w:left w:val="nil"/>
              <w:bottom w:val="single" w:color="auto" w:sz="4" w:space="0"/>
              <w:right w:val="single" w:color="auto" w:sz="4" w:space="0"/>
            </w:tcBorders>
            <w:shd w:val="clear" w:color="auto" w:fill="auto"/>
            <w:vAlign w:val="center"/>
          </w:tcPr>
          <w:p w14:paraId="45DED7D1">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规范路内停车位及配套设施，重新进行编号，完善标线、收费公示牌等，在重点区域、路口设置分流提示牌，方便市民查找车位。实施路内停车位智能化建设，采用</w:t>
            </w:r>
            <w:r>
              <w:rPr>
                <w:rFonts w:hint="default" w:ascii="Times New Roman" w:hAnsi="Times New Roman" w:eastAsia="方正仿宋_GBK" w:cs="Times New Roman"/>
                <w:kern w:val="0"/>
                <w:sz w:val="24"/>
                <w:szCs w:val="20"/>
                <w:lang w:val="en-US" w:eastAsia="zh-CN" w:bidi="ar"/>
              </w:rPr>
              <w:t>“</w:t>
            </w:r>
            <w:r>
              <w:rPr>
                <w:rFonts w:hint="eastAsia" w:ascii="Times New Roman" w:hAnsi="方正仿宋_GBK" w:eastAsia="方正仿宋_GBK" w:cs="方正仿宋_GBK"/>
                <w:kern w:val="0"/>
                <w:sz w:val="24"/>
                <w:szCs w:val="20"/>
                <w:lang w:val="en-US" w:eastAsia="zh-CN" w:bidi="ar"/>
              </w:rPr>
              <w:t>高位视频杆</w:t>
            </w:r>
            <w:r>
              <w:rPr>
                <w:rFonts w:hint="default" w:ascii="Times New Roman" w:hAnsi="Times New Roman" w:eastAsia="方正仿宋_GBK" w:cs="Times New Roman"/>
                <w:kern w:val="0"/>
                <w:sz w:val="24"/>
                <w:szCs w:val="20"/>
                <w:lang w:val="en-US" w:eastAsia="zh-CN" w:bidi="ar"/>
              </w:rPr>
              <w:t>+</w:t>
            </w:r>
            <w:r>
              <w:rPr>
                <w:rFonts w:hint="eastAsia" w:ascii="Times New Roman" w:hAnsi="方正仿宋_GBK" w:eastAsia="方正仿宋_GBK" w:cs="方正仿宋_GBK"/>
                <w:kern w:val="0"/>
                <w:sz w:val="24"/>
                <w:szCs w:val="20"/>
                <w:lang w:val="en-US" w:eastAsia="zh-CN" w:bidi="ar"/>
              </w:rPr>
              <w:t>在线缴费</w:t>
            </w:r>
            <w:r>
              <w:rPr>
                <w:rFonts w:hint="default" w:ascii="Times New Roman" w:hAnsi="Times New Roman" w:eastAsia="方正仿宋_GBK" w:cs="Times New Roman"/>
                <w:kern w:val="0"/>
                <w:sz w:val="24"/>
                <w:szCs w:val="20"/>
                <w:lang w:val="en-US" w:eastAsia="zh-CN" w:bidi="ar"/>
              </w:rPr>
              <w:t>+ETC</w:t>
            </w:r>
            <w:r>
              <w:rPr>
                <w:rFonts w:hint="eastAsia" w:ascii="Times New Roman" w:hAnsi="方正仿宋_GBK" w:eastAsia="方正仿宋_GBK" w:cs="方正仿宋_GBK"/>
                <w:kern w:val="0"/>
                <w:sz w:val="24"/>
                <w:szCs w:val="20"/>
                <w:lang w:val="en-US" w:eastAsia="zh-CN" w:bidi="ar"/>
              </w:rPr>
              <w:t>自动扣费</w:t>
            </w:r>
            <w:r>
              <w:rPr>
                <w:rFonts w:hint="default" w:ascii="Times New Roman" w:hAnsi="Times New Roman" w:eastAsia="方正仿宋_GBK" w:cs="Times New Roman"/>
                <w:kern w:val="0"/>
                <w:sz w:val="24"/>
                <w:szCs w:val="20"/>
                <w:lang w:val="en-US" w:eastAsia="zh-CN" w:bidi="ar"/>
              </w:rPr>
              <w:t>+</w:t>
            </w:r>
            <w:r>
              <w:rPr>
                <w:rFonts w:hint="eastAsia" w:ascii="Times New Roman" w:hAnsi="方正仿宋_GBK" w:eastAsia="方正仿宋_GBK" w:cs="方正仿宋_GBK"/>
                <w:kern w:val="0"/>
                <w:sz w:val="24"/>
                <w:szCs w:val="20"/>
                <w:lang w:val="en-US" w:eastAsia="zh-CN" w:bidi="ar"/>
              </w:rPr>
              <w:t>封闭式停车场联动收费</w:t>
            </w:r>
            <w:r>
              <w:rPr>
                <w:rFonts w:hint="default" w:ascii="Times New Roman" w:hAnsi="Times New Roman" w:eastAsia="方正仿宋_GBK" w:cs="Times New Roman"/>
                <w:kern w:val="0"/>
                <w:sz w:val="24"/>
                <w:szCs w:val="20"/>
                <w:lang w:val="en-US" w:eastAsia="zh-CN" w:bidi="ar"/>
              </w:rPr>
              <w:t>”</w:t>
            </w:r>
            <w:r>
              <w:rPr>
                <w:rFonts w:hint="eastAsia" w:ascii="Times New Roman" w:hAnsi="方正仿宋_GBK" w:eastAsia="方正仿宋_GBK" w:cs="方正仿宋_GBK"/>
                <w:kern w:val="0"/>
                <w:sz w:val="24"/>
                <w:szCs w:val="20"/>
                <w:lang w:val="en-US" w:eastAsia="zh-CN" w:bidi="ar"/>
              </w:rPr>
              <w:t>方式对城区</w:t>
            </w:r>
            <w:r>
              <w:rPr>
                <w:rFonts w:hint="default" w:ascii="Times New Roman" w:hAnsi="Times New Roman" w:eastAsia="方正仿宋_GBK" w:cs="Times New Roman"/>
                <w:kern w:val="0"/>
                <w:sz w:val="24"/>
                <w:szCs w:val="20"/>
                <w:lang w:val="en-US" w:eastAsia="zh-CN" w:bidi="ar"/>
              </w:rPr>
              <w:t>2500</w:t>
            </w:r>
            <w:r>
              <w:rPr>
                <w:rFonts w:hint="eastAsia" w:ascii="Times New Roman" w:hAnsi="方正仿宋_GBK" w:eastAsia="方正仿宋_GBK" w:cs="方正仿宋_GBK"/>
                <w:kern w:val="0"/>
                <w:sz w:val="24"/>
                <w:szCs w:val="20"/>
                <w:lang w:val="en-US" w:eastAsia="zh-CN" w:bidi="ar"/>
              </w:rPr>
              <w:t>余个路内停车进行智能化改造。开展恢复收费宣传，争取市民理解和支持。</w:t>
            </w:r>
          </w:p>
        </w:tc>
        <w:tc>
          <w:tcPr>
            <w:tcW w:w="1788" w:type="dxa"/>
            <w:tcBorders>
              <w:top w:val="nil"/>
              <w:left w:val="nil"/>
              <w:bottom w:val="single" w:color="auto" w:sz="4" w:space="0"/>
              <w:right w:val="single" w:color="auto" w:sz="4" w:space="0"/>
            </w:tcBorders>
            <w:shd w:val="clear" w:color="auto" w:fill="auto"/>
            <w:vAlign w:val="center"/>
          </w:tcPr>
          <w:p w14:paraId="6336921C">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区城投集团</w:t>
            </w:r>
          </w:p>
        </w:tc>
        <w:tc>
          <w:tcPr>
            <w:tcW w:w="1833" w:type="dxa"/>
            <w:tcBorders>
              <w:top w:val="nil"/>
              <w:left w:val="nil"/>
              <w:bottom w:val="single" w:color="auto" w:sz="4" w:space="0"/>
              <w:right w:val="single" w:color="auto" w:sz="4" w:space="0"/>
            </w:tcBorders>
            <w:shd w:val="clear" w:color="auto" w:fill="auto"/>
            <w:vAlign w:val="center"/>
          </w:tcPr>
          <w:p w14:paraId="08BDBF0A">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区城市管理局、区公安交巡警支队</w:t>
            </w:r>
          </w:p>
        </w:tc>
        <w:tc>
          <w:tcPr>
            <w:tcW w:w="1696" w:type="dxa"/>
            <w:tcBorders>
              <w:top w:val="nil"/>
              <w:left w:val="nil"/>
              <w:bottom w:val="single" w:color="auto" w:sz="4" w:space="0"/>
              <w:right w:val="single" w:color="auto" w:sz="4" w:space="0"/>
            </w:tcBorders>
            <w:shd w:val="clear" w:color="auto" w:fill="auto"/>
            <w:vAlign w:val="center"/>
          </w:tcPr>
          <w:p w14:paraId="6B23A507">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2022</w:t>
            </w:r>
            <w:r>
              <w:rPr>
                <w:rFonts w:hint="eastAsia" w:ascii="Times New Roman" w:hAnsi="方正仿宋_GBK" w:eastAsia="方正仿宋_GBK" w:cs="方正仿宋_GBK"/>
                <w:kern w:val="0"/>
                <w:sz w:val="24"/>
                <w:szCs w:val="20"/>
                <w:lang w:val="en-US" w:eastAsia="zh-CN" w:bidi="ar"/>
              </w:rPr>
              <w:t>年</w:t>
            </w:r>
            <w:r>
              <w:rPr>
                <w:rFonts w:hint="default" w:ascii="Times New Roman" w:hAnsi="Times New Roman" w:eastAsia="方正仿宋_GBK" w:cs="Times New Roman"/>
                <w:kern w:val="0"/>
                <w:sz w:val="24"/>
                <w:szCs w:val="20"/>
                <w:lang w:val="en-US" w:eastAsia="zh-CN" w:bidi="ar"/>
              </w:rPr>
              <w:t>8</w:t>
            </w:r>
            <w:r>
              <w:rPr>
                <w:rFonts w:hint="eastAsia" w:ascii="Times New Roman" w:hAnsi="方正仿宋_GBK" w:eastAsia="方正仿宋_GBK" w:cs="方正仿宋_GBK"/>
                <w:kern w:val="0"/>
                <w:sz w:val="24"/>
                <w:szCs w:val="20"/>
                <w:lang w:val="en-US" w:eastAsia="zh-CN" w:bidi="ar"/>
              </w:rPr>
              <w:t>月</w:t>
            </w:r>
            <w:r>
              <w:rPr>
                <w:rFonts w:hint="default" w:ascii="Times New Roman" w:hAnsi="Times New Roman" w:eastAsia="方正仿宋_GBK" w:cs="Times New Roman"/>
                <w:kern w:val="0"/>
                <w:sz w:val="24"/>
                <w:szCs w:val="20"/>
                <w:lang w:val="en-US" w:eastAsia="zh-CN" w:bidi="ar"/>
              </w:rPr>
              <w:t>31</w:t>
            </w:r>
            <w:r>
              <w:rPr>
                <w:rFonts w:hint="eastAsia" w:ascii="Times New Roman" w:hAnsi="方正仿宋_GBK" w:eastAsia="方正仿宋_GBK" w:cs="方正仿宋_GBK"/>
                <w:kern w:val="0"/>
                <w:sz w:val="24"/>
                <w:szCs w:val="20"/>
                <w:lang w:val="en-US" w:eastAsia="zh-CN" w:bidi="ar"/>
              </w:rPr>
              <w:t>日前</w:t>
            </w:r>
          </w:p>
        </w:tc>
      </w:tr>
      <w:tr w14:paraId="1BAB9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526" w:type="dxa"/>
            <w:tcBorders>
              <w:top w:val="nil"/>
              <w:left w:val="single" w:color="auto" w:sz="4" w:space="0"/>
              <w:bottom w:val="single" w:color="auto" w:sz="4" w:space="0"/>
              <w:right w:val="single" w:color="auto" w:sz="4" w:space="0"/>
            </w:tcBorders>
            <w:shd w:val="clear" w:color="auto" w:fill="auto"/>
            <w:vAlign w:val="center"/>
          </w:tcPr>
          <w:p w14:paraId="22E44A54">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4</w:t>
            </w:r>
          </w:p>
        </w:tc>
        <w:tc>
          <w:tcPr>
            <w:tcW w:w="936" w:type="dxa"/>
            <w:vMerge w:val="continue"/>
            <w:tcBorders>
              <w:top w:val="nil"/>
              <w:left w:val="nil"/>
              <w:bottom w:val="single" w:color="auto" w:sz="4" w:space="0"/>
              <w:right w:val="single" w:color="auto" w:sz="4" w:space="0"/>
            </w:tcBorders>
            <w:shd w:val="clear" w:color="auto" w:fill="auto"/>
            <w:vAlign w:val="center"/>
          </w:tcPr>
          <w:p w14:paraId="78E9820F">
            <w:pPr>
              <w:keepNext w:val="0"/>
              <w:keepLines w:val="0"/>
              <w:pageBreakBefore w:val="0"/>
              <w:suppressLineNumbers w:val="0"/>
              <w:kinsoku/>
              <w:wordWrap/>
              <w:overflowPunct/>
              <w:topLinePunct w:val="0"/>
              <w:bidi w:val="0"/>
              <w:spacing w:before="0" w:beforeAutospacing="0" w:after="0" w:afterAutospacing="0" w:line="600" w:lineRule="exact"/>
              <w:ind w:left="0" w:right="0"/>
              <w:textAlignment w:val="auto"/>
              <w:rPr>
                <w:rFonts w:hint="default" w:ascii="Calibri" w:hAnsi="Calibri" w:eastAsia="宋体" w:cs="Times New Roman"/>
                <w:kern w:val="2"/>
                <w:sz w:val="21"/>
                <w:szCs w:val="22"/>
              </w:rPr>
            </w:pPr>
          </w:p>
        </w:tc>
        <w:tc>
          <w:tcPr>
            <w:tcW w:w="1145" w:type="dxa"/>
            <w:vMerge w:val="continue"/>
            <w:tcBorders>
              <w:top w:val="nil"/>
              <w:left w:val="single" w:color="auto" w:sz="4" w:space="0"/>
              <w:bottom w:val="single" w:color="auto" w:sz="4" w:space="0"/>
              <w:right w:val="single" w:color="auto" w:sz="4" w:space="0"/>
            </w:tcBorders>
            <w:shd w:val="clear" w:color="auto" w:fill="auto"/>
            <w:vAlign w:val="center"/>
          </w:tcPr>
          <w:p w14:paraId="210DF5CA">
            <w:pPr>
              <w:keepNext w:val="0"/>
              <w:keepLines w:val="0"/>
              <w:pageBreakBefore w:val="0"/>
              <w:suppressLineNumbers w:val="0"/>
              <w:kinsoku/>
              <w:wordWrap/>
              <w:overflowPunct/>
              <w:topLinePunct w:val="0"/>
              <w:bidi w:val="0"/>
              <w:spacing w:before="0" w:beforeAutospacing="0" w:after="0" w:afterAutospacing="0" w:line="600" w:lineRule="exact"/>
              <w:ind w:left="0" w:right="0"/>
              <w:textAlignment w:val="auto"/>
              <w:rPr>
                <w:rFonts w:hint="default" w:ascii="Calibri" w:hAnsi="Calibri" w:eastAsia="宋体" w:cs="Times New Roman"/>
                <w:kern w:val="2"/>
                <w:sz w:val="21"/>
                <w:szCs w:val="22"/>
              </w:rPr>
            </w:pPr>
          </w:p>
        </w:tc>
        <w:tc>
          <w:tcPr>
            <w:tcW w:w="6554" w:type="dxa"/>
            <w:tcBorders>
              <w:top w:val="nil"/>
              <w:left w:val="nil"/>
              <w:bottom w:val="single" w:color="auto" w:sz="4" w:space="0"/>
              <w:right w:val="single" w:color="auto" w:sz="4" w:space="0"/>
            </w:tcBorders>
            <w:shd w:val="clear" w:color="auto" w:fill="auto"/>
            <w:vAlign w:val="center"/>
          </w:tcPr>
          <w:p w14:paraId="5FA93D5D">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完善车位分流引导标志标牌，在有临停车位的停车库门口设置对外临停信息提示牌，方便市民停车。</w:t>
            </w:r>
          </w:p>
        </w:tc>
        <w:tc>
          <w:tcPr>
            <w:tcW w:w="1788" w:type="dxa"/>
            <w:tcBorders>
              <w:top w:val="nil"/>
              <w:left w:val="nil"/>
              <w:bottom w:val="single" w:color="auto" w:sz="4" w:space="0"/>
              <w:right w:val="single" w:color="auto" w:sz="4" w:space="0"/>
            </w:tcBorders>
            <w:shd w:val="clear" w:color="auto" w:fill="auto"/>
            <w:vAlign w:val="center"/>
          </w:tcPr>
          <w:p w14:paraId="7F71FD10">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区住房城乡建委（各物业小区）、区城投集团</w:t>
            </w:r>
          </w:p>
        </w:tc>
        <w:tc>
          <w:tcPr>
            <w:tcW w:w="1833" w:type="dxa"/>
            <w:tcBorders>
              <w:top w:val="nil"/>
              <w:left w:val="nil"/>
              <w:bottom w:val="single" w:color="auto" w:sz="4" w:space="0"/>
              <w:right w:val="single" w:color="auto" w:sz="4" w:space="0"/>
            </w:tcBorders>
            <w:shd w:val="clear" w:color="auto" w:fill="auto"/>
            <w:vAlign w:val="center"/>
          </w:tcPr>
          <w:p w14:paraId="5AFC9B19">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区城市管理局</w:t>
            </w:r>
          </w:p>
        </w:tc>
        <w:tc>
          <w:tcPr>
            <w:tcW w:w="1696" w:type="dxa"/>
            <w:tcBorders>
              <w:top w:val="nil"/>
              <w:left w:val="nil"/>
              <w:bottom w:val="single" w:color="auto" w:sz="4" w:space="0"/>
              <w:right w:val="single" w:color="auto" w:sz="4" w:space="0"/>
            </w:tcBorders>
            <w:shd w:val="clear" w:color="auto" w:fill="auto"/>
            <w:vAlign w:val="center"/>
          </w:tcPr>
          <w:p w14:paraId="42848B57">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2022</w:t>
            </w:r>
            <w:r>
              <w:rPr>
                <w:rFonts w:hint="eastAsia" w:ascii="Times New Roman" w:hAnsi="方正仿宋_GBK" w:eastAsia="方正仿宋_GBK" w:cs="方正仿宋_GBK"/>
                <w:kern w:val="0"/>
                <w:sz w:val="24"/>
                <w:szCs w:val="20"/>
                <w:lang w:val="en-US" w:eastAsia="zh-CN" w:bidi="ar"/>
              </w:rPr>
              <w:t>年</w:t>
            </w:r>
            <w:r>
              <w:rPr>
                <w:rFonts w:hint="default" w:ascii="Times New Roman" w:hAnsi="Times New Roman" w:eastAsia="方正仿宋_GBK" w:cs="Times New Roman"/>
                <w:kern w:val="0"/>
                <w:sz w:val="24"/>
                <w:szCs w:val="20"/>
                <w:lang w:val="en-US" w:eastAsia="zh-CN" w:bidi="ar"/>
              </w:rPr>
              <w:t>8</w:t>
            </w:r>
            <w:r>
              <w:rPr>
                <w:rFonts w:hint="eastAsia" w:ascii="Times New Roman" w:hAnsi="方正仿宋_GBK" w:eastAsia="方正仿宋_GBK" w:cs="方正仿宋_GBK"/>
                <w:kern w:val="0"/>
                <w:sz w:val="24"/>
                <w:szCs w:val="20"/>
                <w:lang w:val="en-US" w:eastAsia="zh-CN" w:bidi="ar"/>
              </w:rPr>
              <w:t>月</w:t>
            </w:r>
            <w:r>
              <w:rPr>
                <w:rFonts w:hint="default" w:ascii="Times New Roman" w:hAnsi="Times New Roman" w:eastAsia="方正仿宋_GBK" w:cs="Times New Roman"/>
                <w:kern w:val="0"/>
                <w:sz w:val="24"/>
                <w:szCs w:val="20"/>
                <w:lang w:val="en-US" w:eastAsia="zh-CN" w:bidi="ar"/>
              </w:rPr>
              <w:t>31</w:t>
            </w:r>
            <w:r>
              <w:rPr>
                <w:rFonts w:hint="eastAsia" w:ascii="Times New Roman" w:hAnsi="方正仿宋_GBK" w:eastAsia="方正仿宋_GBK" w:cs="方正仿宋_GBK"/>
                <w:kern w:val="0"/>
                <w:sz w:val="24"/>
                <w:szCs w:val="20"/>
                <w:lang w:val="en-US" w:eastAsia="zh-CN" w:bidi="ar"/>
              </w:rPr>
              <w:t>日前</w:t>
            </w:r>
          </w:p>
        </w:tc>
      </w:tr>
      <w:tr w14:paraId="5A9BC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jc w:val="center"/>
        </w:trPr>
        <w:tc>
          <w:tcPr>
            <w:tcW w:w="526" w:type="dxa"/>
            <w:tcBorders>
              <w:top w:val="nil"/>
              <w:left w:val="single" w:color="auto" w:sz="4" w:space="0"/>
              <w:bottom w:val="single" w:color="auto" w:sz="4" w:space="0"/>
              <w:right w:val="single" w:color="auto" w:sz="4" w:space="0"/>
            </w:tcBorders>
            <w:shd w:val="clear" w:color="auto" w:fill="auto"/>
            <w:vAlign w:val="center"/>
          </w:tcPr>
          <w:p w14:paraId="1D89FC49">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5</w:t>
            </w:r>
          </w:p>
        </w:tc>
        <w:tc>
          <w:tcPr>
            <w:tcW w:w="936" w:type="dxa"/>
            <w:vMerge w:val="restart"/>
            <w:tcBorders>
              <w:top w:val="nil"/>
              <w:left w:val="nil"/>
              <w:bottom w:val="single" w:color="auto" w:sz="4" w:space="0"/>
              <w:right w:val="single" w:color="auto" w:sz="4" w:space="0"/>
            </w:tcBorders>
            <w:shd w:val="clear" w:color="auto" w:fill="auto"/>
            <w:vAlign w:val="center"/>
          </w:tcPr>
          <w:p w14:paraId="487F0F00">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rFonts w:eastAsia="方正楷体_GBK"/>
                <w:kern w:val="0"/>
                <w:sz w:val="24"/>
                <w:szCs w:val="20"/>
                <w:lang w:val="en-US"/>
              </w:rPr>
            </w:pPr>
          </w:p>
        </w:tc>
        <w:tc>
          <w:tcPr>
            <w:tcW w:w="1145" w:type="dxa"/>
            <w:vMerge w:val="restart"/>
            <w:tcBorders>
              <w:top w:val="nil"/>
              <w:left w:val="single" w:color="auto" w:sz="4" w:space="0"/>
              <w:bottom w:val="single" w:color="auto" w:sz="4" w:space="0"/>
              <w:right w:val="single" w:color="auto" w:sz="4" w:space="0"/>
            </w:tcBorders>
            <w:shd w:val="clear" w:color="auto" w:fill="auto"/>
            <w:vAlign w:val="center"/>
          </w:tcPr>
          <w:p w14:paraId="0602E1FA">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b/>
                <w:bCs/>
                <w:kern w:val="0"/>
                <w:sz w:val="24"/>
                <w:szCs w:val="20"/>
                <w:lang w:val="en-US"/>
              </w:rPr>
            </w:pPr>
            <w:r>
              <w:rPr>
                <w:rFonts w:hint="default" w:ascii="Times New Roman" w:hAnsi="Times New Roman" w:eastAsia="方正仿宋_GBK" w:cs="Times New Roman"/>
                <w:b/>
                <w:bCs/>
                <w:kern w:val="0"/>
                <w:sz w:val="24"/>
                <w:szCs w:val="20"/>
                <w:lang w:val="en-US" w:eastAsia="zh-CN" w:bidi="ar"/>
              </w:rPr>
              <w:t>4.</w:t>
            </w:r>
            <w:r>
              <w:rPr>
                <w:rFonts w:hint="eastAsia" w:ascii="Times New Roman" w:hAnsi="方正仿宋_GBK" w:eastAsia="方正仿宋_GBK" w:cs="方正仿宋_GBK"/>
                <w:b/>
                <w:bCs/>
                <w:kern w:val="0"/>
                <w:sz w:val="24"/>
                <w:szCs w:val="20"/>
                <w:lang w:val="en-US" w:eastAsia="zh-CN" w:bidi="ar"/>
              </w:rPr>
              <w:t>实施停车智能建设</w:t>
            </w:r>
          </w:p>
        </w:tc>
        <w:tc>
          <w:tcPr>
            <w:tcW w:w="6554" w:type="dxa"/>
            <w:tcBorders>
              <w:top w:val="nil"/>
              <w:left w:val="nil"/>
              <w:bottom w:val="single" w:color="auto" w:sz="4" w:space="0"/>
              <w:right w:val="single" w:color="auto" w:sz="4" w:space="0"/>
            </w:tcBorders>
            <w:shd w:val="clear" w:color="auto" w:fill="auto"/>
            <w:vAlign w:val="center"/>
          </w:tcPr>
          <w:p w14:paraId="2AA77C8D">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建立停车设施基础信息数据库，搭建行政监管、车场管理、公众服务三大子平台。建设全区停车诱导系统，支持</w:t>
            </w:r>
            <w:r>
              <w:rPr>
                <w:rFonts w:hint="default" w:ascii="Times New Roman" w:hAnsi="Times New Roman" w:eastAsia="方正仿宋_GBK" w:cs="Times New Roman"/>
                <w:kern w:val="0"/>
                <w:sz w:val="24"/>
                <w:szCs w:val="20"/>
                <w:lang w:val="en-US" w:eastAsia="zh-CN" w:bidi="ar"/>
              </w:rPr>
              <w:t>“</w:t>
            </w:r>
            <w:r>
              <w:rPr>
                <w:rFonts w:hint="eastAsia" w:ascii="Times New Roman" w:hAnsi="方正仿宋_GBK" w:eastAsia="方正仿宋_GBK" w:cs="方正仿宋_GBK"/>
                <w:kern w:val="0"/>
                <w:sz w:val="24"/>
                <w:szCs w:val="20"/>
                <w:lang w:val="en-US" w:eastAsia="zh-CN" w:bidi="ar"/>
              </w:rPr>
              <w:t>线上（</w:t>
            </w:r>
            <w:r>
              <w:rPr>
                <w:rFonts w:hint="default" w:ascii="Times New Roman" w:hAnsi="Times New Roman" w:eastAsia="方正仿宋_GBK" w:cs="Times New Roman"/>
                <w:kern w:val="0"/>
                <w:sz w:val="24"/>
                <w:szCs w:val="20"/>
                <w:lang w:val="en-US" w:eastAsia="zh-CN" w:bidi="ar"/>
              </w:rPr>
              <w:t>APP</w:t>
            </w:r>
            <w:r>
              <w:rPr>
                <w:rFonts w:hint="eastAsia" w:ascii="Times New Roman" w:hAnsi="方正仿宋_GBK" w:eastAsia="方正仿宋_GBK" w:cs="方正仿宋_GBK"/>
                <w:kern w:val="0"/>
                <w:sz w:val="24"/>
                <w:szCs w:val="20"/>
                <w:lang w:val="en-US" w:eastAsia="zh-CN" w:bidi="ar"/>
              </w:rPr>
              <w:t>、公众号、网站、导航软件等）</w:t>
            </w:r>
            <w:r>
              <w:rPr>
                <w:rFonts w:hint="default" w:ascii="Times New Roman" w:hAnsi="Times New Roman" w:eastAsia="方正仿宋_GBK" w:cs="Times New Roman"/>
                <w:kern w:val="0"/>
                <w:sz w:val="24"/>
                <w:szCs w:val="20"/>
                <w:lang w:val="en-US" w:eastAsia="zh-CN" w:bidi="ar"/>
              </w:rPr>
              <w:t>”+“</w:t>
            </w:r>
            <w:r>
              <w:rPr>
                <w:rFonts w:hint="eastAsia" w:ascii="Times New Roman" w:hAnsi="方正仿宋_GBK" w:eastAsia="方正仿宋_GBK" w:cs="方正仿宋_GBK"/>
                <w:kern w:val="0"/>
                <w:sz w:val="24"/>
                <w:szCs w:val="20"/>
                <w:lang w:val="en-US" w:eastAsia="zh-CN" w:bidi="ar"/>
              </w:rPr>
              <w:t>线下（诱导屏、导视牌等）</w:t>
            </w:r>
            <w:r>
              <w:rPr>
                <w:rFonts w:hint="default" w:ascii="Times New Roman" w:hAnsi="Times New Roman" w:eastAsia="方正仿宋_GBK" w:cs="Times New Roman"/>
                <w:kern w:val="0"/>
                <w:sz w:val="24"/>
                <w:szCs w:val="20"/>
                <w:lang w:val="en-US" w:eastAsia="zh-CN" w:bidi="ar"/>
              </w:rPr>
              <w:t>”</w:t>
            </w:r>
            <w:r>
              <w:rPr>
                <w:rFonts w:hint="eastAsia" w:ascii="Times New Roman" w:hAnsi="方正仿宋_GBK" w:eastAsia="方正仿宋_GBK" w:cs="方正仿宋_GBK"/>
                <w:kern w:val="0"/>
                <w:sz w:val="24"/>
                <w:szCs w:val="20"/>
                <w:lang w:val="en-US" w:eastAsia="zh-CN" w:bidi="ar"/>
              </w:rPr>
              <w:t>信息发布。探索共享停车模式，推动机关企事业单位停车位非工作时间有偿错时共享，鼓励相邻单位、小区错时向社会开放停车设施。</w:t>
            </w:r>
          </w:p>
        </w:tc>
        <w:tc>
          <w:tcPr>
            <w:tcW w:w="1788" w:type="dxa"/>
            <w:tcBorders>
              <w:top w:val="nil"/>
              <w:left w:val="nil"/>
              <w:bottom w:val="single" w:color="auto" w:sz="4" w:space="0"/>
              <w:right w:val="single" w:color="auto" w:sz="4" w:space="0"/>
            </w:tcBorders>
            <w:shd w:val="clear" w:color="auto" w:fill="auto"/>
            <w:vAlign w:val="center"/>
          </w:tcPr>
          <w:p w14:paraId="74B5891C">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区城市管理局、区城投集团</w:t>
            </w:r>
          </w:p>
        </w:tc>
        <w:tc>
          <w:tcPr>
            <w:tcW w:w="1833" w:type="dxa"/>
            <w:tcBorders>
              <w:top w:val="nil"/>
              <w:left w:val="nil"/>
              <w:bottom w:val="single" w:color="auto" w:sz="4" w:space="0"/>
              <w:right w:val="single" w:color="auto" w:sz="4" w:space="0"/>
            </w:tcBorders>
            <w:shd w:val="clear" w:color="auto" w:fill="auto"/>
            <w:vAlign w:val="center"/>
          </w:tcPr>
          <w:p w14:paraId="7C8C58F5">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区经济信息委、区公安交巡警支队</w:t>
            </w:r>
          </w:p>
        </w:tc>
        <w:tc>
          <w:tcPr>
            <w:tcW w:w="1696" w:type="dxa"/>
            <w:tcBorders>
              <w:top w:val="nil"/>
              <w:left w:val="nil"/>
              <w:bottom w:val="single" w:color="auto" w:sz="4" w:space="0"/>
              <w:right w:val="single" w:color="auto" w:sz="4" w:space="0"/>
            </w:tcBorders>
            <w:shd w:val="clear" w:color="auto" w:fill="auto"/>
            <w:vAlign w:val="center"/>
          </w:tcPr>
          <w:p w14:paraId="033FBB16">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2022</w:t>
            </w:r>
            <w:r>
              <w:rPr>
                <w:rFonts w:hint="eastAsia" w:ascii="Times New Roman" w:hAnsi="方正仿宋_GBK" w:eastAsia="方正仿宋_GBK" w:cs="方正仿宋_GBK"/>
                <w:kern w:val="0"/>
                <w:sz w:val="24"/>
                <w:szCs w:val="20"/>
                <w:lang w:val="en-US" w:eastAsia="zh-CN" w:bidi="ar"/>
              </w:rPr>
              <w:t>年</w:t>
            </w:r>
            <w:r>
              <w:rPr>
                <w:rFonts w:hint="default" w:ascii="Times New Roman" w:hAnsi="Times New Roman" w:eastAsia="方正仿宋_GBK" w:cs="Times New Roman"/>
                <w:kern w:val="0"/>
                <w:sz w:val="24"/>
                <w:szCs w:val="20"/>
                <w:lang w:val="en-US" w:eastAsia="zh-CN" w:bidi="ar"/>
              </w:rPr>
              <w:t>12</w:t>
            </w:r>
            <w:r>
              <w:rPr>
                <w:rFonts w:hint="eastAsia" w:ascii="Times New Roman" w:hAnsi="方正仿宋_GBK" w:eastAsia="方正仿宋_GBK" w:cs="方正仿宋_GBK"/>
                <w:kern w:val="0"/>
                <w:sz w:val="24"/>
                <w:szCs w:val="20"/>
                <w:lang w:val="en-US" w:eastAsia="zh-CN" w:bidi="ar"/>
              </w:rPr>
              <w:t>月</w:t>
            </w:r>
            <w:r>
              <w:rPr>
                <w:rFonts w:hint="default" w:ascii="Times New Roman" w:hAnsi="Times New Roman" w:eastAsia="方正仿宋_GBK" w:cs="Times New Roman"/>
                <w:kern w:val="0"/>
                <w:sz w:val="24"/>
                <w:szCs w:val="20"/>
                <w:lang w:val="en-US" w:eastAsia="zh-CN" w:bidi="ar"/>
              </w:rPr>
              <w:t>31</w:t>
            </w:r>
            <w:r>
              <w:rPr>
                <w:rFonts w:hint="eastAsia" w:ascii="Times New Roman" w:hAnsi="方正仿宋_GBK" w:eastAsia="方正仿宋_GBK" w:cs="方正仿宋_GBK"/>
                <w:kern w:val="0"/>
                <w:sz w:val="24"/>
                <w:szCs w:val="20"/>
                <w:lang w:val="en-US" w:eastAsia="zh-CN" w:bidi="ar"/>
              </w:rPr>
              <w:t>日前</w:t>
            </w:r>
          </w:p>
        </w:tc>
      </w:tr>
      <w:tr w14:paraId="60E32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526" w:type="dxa"/>
            <w:tcBorders>
              <w:top w:val="nil"/>
              <w:left w:val="single" w:color="auto" w:sz="4" w:space="0"/>
              <w:bottom w:val="single" w:color="auto" w:sz="4" w:space="0"/>
              <w:right w:val="single" w:color="auto" w:sz="4" w:space="0"/>
            </w:tcBorders>
            <w:shd w:val="clear" w:color="auto" w:fill="auto"/>
            <w:vAlign w:val="center"/>
          </w:tcPr>
          <w:p w14:paraId="49FEB92B">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6</w:t>
            </w:r>
          </w:p>
        </w:tc>
        <w:tc>
          <w:tcPr>
            <w:tcW w:w="936" w:type="dxa"/>
            <w:vMerge w:val="continue"/>
            <w:tcBorders>
              <w:top w:val="nil"/>
              <w:left w:val="nil"/>
              <w:bottom w:val="single" w:color="auto" w:sz="4" w:space="0"/>
              <w:right w:val="single" w:color="auto" w:sz="4" w:space="0"/>
            </w:tcBorders>
            <w:shd w:val="clear" w:color="auto" w:fill="auto"/>
            <w:vAlign w:val="center"/>
          </w:tcPr>
          <w:p w14:paraId="429C14A5">
            <w:pPr>
              <w:keepNext w:val="0"/>
              <w:keepLines w:val="0"/>
              <w:pageBreakBefore w:val="0"/>
              <w:suppressLineNumbers w:val="0"/>
              <w:kinsoku/>
              <w:wordWrap/>
              <w:overflowPunct/>
              <w:topLinePunct w:val="0"/>
              <w:bidi w:val="0"/>
              <w:spacing w:before="0" w:beforeAutospacing="0" w:after="0" w:afterAutospacing="0" w:line="600" w:lineRule="exact"/>
              <w:ind w:left="0" w:right="0"/>
              <w:textAlignment w:val="auto"/>
              <w:rPr>
                <w:rFonts w:hint="default" w:ascii="Calibri" w:hAnsi="Calibri" w:eastAsia="宋体" w:cs="Times New Roman"/>
                <w:kern w:val="2"/>
                <w:sz w:val="21"/>
                <w:szCs w:val="22"/>
              </w:rPr>
            </w:pPr>
          </w:p>
        </w:tc>
        <w:tc>
          <w:tcPr>
            <w:tcW w:w="1145" w:type="dxa"/>
            <w:vMerge w:val="continue"/>
            <w:tcBorders>
              <w:top w:val="nil"/>
              <w:left w:val="single" w:color="auto" w:sz="4" w:space="0"/>
              <w:bottom w:val="single" w:color="auto" w:sz="4" w:space="0"/>
              <w:right w:val="single" w:color="auto" w:sz="4" w:space="0"/>
            </w:tcBorders>
            <w:shd w:val="clear" w:color="auto" w:fill="auto"/>
            <w:vAlign w:val="center"/>
          </w:tcPr>
          <w:p w14:paraId="39B1F4A3">
            <w:pPr>
              <w:keepNext w:val="0"/>
              <w:keepLines w:val="0"/>
              <w:pageBreakBefore w:val="0"/>
              <w:suppressLineNumbers w:val="0"/>
              <w:kinsoku/>
              <w:wordWrap/>
              <w:overflowPunct/>
              <w:topLinePunct w:val="0"/>
              <w:bidi w:val="0"/>
              <w:spacing w:before="0" w:beforeAutospacing="0" w:after="0" w:afterAutospacing="0" w:line="600" w:lineRule="exact"/>
              <w:ind w:left="0" w:right="0"/>
              <w:textAlignment w:val="auto"/>
              <w:rPr>
                <w:rFonts w:hint="default" w:ascii="Calibri" w:hAnsi="Calibri" w:eastAsia="宋体" w:cs="Times New Roman"/>
                <w:kern w:val="2"/>
                <w:sz w:val="21"/>
                <w:szCs w:val="22"/>
              </w:rPr>
            </w:pPr>
          </w:p>
        </w:tc>
        <w:tc>
          <w:tcPr>
            <w:tcW w:w="6554" w:type="dxa"/>
            <w:tcBorders>
              <w:top w:val="nil"/>
              <w:left w:val="nil"/>
              <w:bottom w:val="single" w:color="auto" w:sz="4" w:space="0"/>
              <w:right w:val="single" w:color="auto" w:sz="4" w:space="0"/>
            </w:tcBorders>
            <w:shd w:val="clear" w:color="auto" w:fill="auto"/>
            <w:vAlign w:val="center"/>
          </w:tcPr>
          <w:p w14:paraId="6EAF15B8">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合理增加布局违停监控等设施设备（暂定</w:t>
            </w:r>
            <w:r>
              <w:rPr>
                <w:rFonts w:hint="default" w:ascii="Times New Roman" w:hAnsi="Times New Roman" w:eastAsia="方正仿宋_GBK" w:cs="Times New Roman"/>
                <w:kern w:val="0"/>
                <w:sz w:val="24"/>
                <w:szCs w:val="20"/>
                <w:lang w:val="en-US" w:eastAsia="zh-CN" w:bidi="ar"/>
              </w:rPr>
              <w:t>200</w:t>
            </w:r>
            <w:r>
              <w:rPr>
                <w:rFonts w:hint="eastAsia" w:ascii="Times New Roman" w:hAnsi="方正仿宋_GBK" w:eastAsia="方正仿宋_GBK" w:cs="方正仿宋_GBK"/>
                <w:kern w:val="0"/>
                <w:sz w:val="24"/>
                <w:szCs w:val="20"/>
                <w:lang w:val="en-US" w:eastAsia="zh-CN" w:bidi="ar"/>
              </w:rPr>
              <w:t>个，具体数量以实际踏勘为准），对禁停路段停放的车辆采取教育和处罚相结合的方式来规范车辆停放。</w:t>
            </w:r>
          </w:p>
        </w:tc>
        <w:tc>
          <w:tcPr>
            <w:tcW w:w="1788" w:type="dxa"/>
            <w:tcBorders>
              <w:top w:val="nil"/>
              <w:left w:val="nil"/>
              <w:bottom w:val="single" w:color="auto" w:sz="4" w:space="0"/>
              <w:right w:val="single" w:color="auto" w:sz="4" w:space="0"/>
            </w:tcBorders>
            <w:shd w:val="clear" w:color="auto" w:fill="auto"/>
            <w:vAlign w:val="center"/>
          </w:tcPr>
          <w:p w14:paraId="0FDC3A31">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区公安交巡警支队、区城投集团</w:t>
            </w:r>
          </w:p>
        </w:tc>
        <w:tc>
          <w:tcPr>
            <w:tcW w:w="1833" w:type="dxa"/>
            <w:tcBorders>
              <w:top w:val="nil"/>
              <w:left w:val="nil"/>
              <w:bottom w:val="single" w:color="auto" w:sz="4" w:space="0"/>
              <w:right w:val="single" w:color="auto" w:sz="4" w:space="0"/>
            </w:tcBorders>
            <w:shd w:val="clear" w:color="auto" w:fill="auto"/>
            <w:vAlign w:val="center"/>
          </w:tcPr>
          <w:p w14:paraId="679D3BD8">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　</w:t>
            </w:r>
          </w:p>
        </w:tc>
        <w:tc>
          <w:tcPr>
            <w:tcW w:w="1696" w:type="dxa"/>
            <w:tcBorders>
              <w:top w:val="nil"/>
              <w:left w:val="nil"/>
              <w:bottom w:val="single" w:color="auto" w:sz="4" w:space="0"/>
              <w:right w:val="single" w:color="auto" w:sz="4" w:space="0"/>
            </w:tcBorders>
            <w:shd w:val="clear" w:color="auto" w:fill="auto"/>
            <w:vAlign w:val="center"/>
          </w:tcPr>
          <w:p w14:paraId="5484425A">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2022</w:t>
            </w:r>
            <w:r>
              <w:rPr>
                <w:rFonts w:hint="eastAsia" w:ascii="Times New Roman" w:hAnsi="方正仿宋_GBK" w:eastAsia="方正仿宋_GBK" w:cs="方正仿宋_GBK"/>
                <w:kern w:val="0"/>
                <w:sz w:val="24"/>
                <w:szCs w:val="20"/>
                <w:lang w:val="en-US" w:eastAsia="zh-CN" w:bidi="ar"/>
              </w:rPr>
              <w:t>年</w:t>
            </w:r>
            <w:r>
              <w:rPr>
                <w:rFonts w:hint="default" w:ascii="Times New Roman" w:hAnsi="Times New Roman" w:eastAsia="方正仿宋_GBK" w:cs="Times New Roman"/>
                <w:kern w:val="0"/>
                <w:sz w:val="24"/>
                <w:szCs w:val="20"/>
                <w:lang w:val="en-US" w:eastAsia="zh-CN" w:bidi="ar"/>
              </w:rPr>
              <w:t>8</w:t>
            </w:r>
            <w:r>
              <w:rPr>
                <w:rFonts w:hint="eastAsia" w:ascii="Times New Roman" w:hAnsi="方正仿宋_GBK" w:eastAsia="方正仿宋_GBK" w:cs="方正仿宋_GBK"/>
                <w:kern w:val="0"/>
                <w:sz w:val="24"/>
                <w:szCs w:val="20"/>
                <w:lang w:val="en-US" w:eastAsia="zh-CN" w:bidi="ar"/>
              </w:rPr>
              <w:t>月</w:t>
            </w:r>
            <w:r>
              <w:rPr>
                <w:rFonts w:hint="default" w:ascii="Times New Roman" w:hAnsi="Times New Roman" w:eastAsia="方正仿宋_GBK" w:cs="Times New Roman"/>
                <w:kern w:val="0"/>
                <w:sz w:val="24"/>
                <w:szCs w:val="20"/>
                <w:lang w:val="en-US" w:eastAsia="zh-CN" w:bidi="ar"/>
              </w:rPr>
              <w:t>31</w:t>
            </w:r>
            <w:r>
              <w:rPr>
                <w:rFonts w:hint="eastAsia" w:ascii="Times New Roman" w:hAnsi="方正仿宋_GBK" w:eastAsia="方正仿宋_GBK" w:cs="方正仿宋_GBK"/>
                <w:kern w:val="0"/>
                <w:sz w:val="24"/>
                <w:szCs w:val="20"/>
                <w:lang w:val="en-US" w:eastAsia="zh-CN" w:bidi="ar"/>
              </w:rPr>
              <w:t>日前</w:t>
            </w:r>
          </w:p>
        </w:tc>
      </w:tr>
      <w:tr w14:paraId="6B954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26" w:type="dxa"/>
            <w:tcBorders>
              <w:top w:val="nil"/>
              <w:left w:val="single" w:color="auto" w:sz="4" w:space="0"/>
              <w:bottom w:val="single" w:color="auto" w:sz="4" w:space="0"/>
              <w:right w:val="single" w:color="auto" w:sz="4" w:space="0"/>
            </w:tcBorders>
            <w:shd w:val="clear" w:color="auto" w:fill="auto"/>
            <w:vAlign w:val="center"/>
          </w:tcPr>
          <w:p w14:paraId="0B5C784C">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7</w:t>
            </w:r>
          </w:p>
        </w:tc>
        <w:tc>
          <w:tcPr>
            <w:tcW w:w="936" w:type="dxa"/>
            <w:vMerge w:val="continue"/>
            <w:tcBorders>
              <w:top w:val="nil"/>
              <w:left w:val="nil"/>
              <w:bottom w:val="single" w:color="auto" w:sz="4" w:space="0"/>
              <w:right w:val="single" w:color="auto" w:sz="4" w:space="0"/>
            </w:tcBorders>
            <w:shd w:val="clear" w:color="auto" w:fill="auto"/>
            <w:vAlign w:val="center"/>
          </w:tcPr>
          <w:p w14:paraId="7FFEAADA">
            <w:pPr>
              <w:keepNext w:val="0"/>
              <w:keepLines w:val="0"/>
              <w:pageBreakBefore w:val="0"/>
              <w:suppressLineNumbers w:val="0"/>
              <w:kinsoku/>
              <w:wordWrap/>
              <w:overflowPunct/>
              <w:topLinePunct w:val="0"/>
              <w:bidi w:val="0"/>
              <w:spacing w:before="0" w:beforeAutospacing="0" w:after="0" w:afterAutospacing="0" w:line="600" w:lineRule="exact"/>
              <w:ind w:left="0" w:right="0"/>
              <w:textAlignment w:val="auto"/>
              <w:rPr>
                <w:rFonts w:hint="default" w:ascii="Calibri" w:hAnsi="Calibri" w:eastAsia="宋体" w:cs="Times New Roman"/>
                <w:kern w:val="2"/>
                <w:sz w:val="21"/>
                <w:szCs w:val="22"/>
              </w:rPr>
            </w:pPr>
          </w:p>
        </w:tc>
        <w:tc>
          <w:tcPr>
            <w:tcW w:w="1145" w:type="dxa"/>
            <w:vMerge w:val="restart"/>
            <w:tcBorders>
              <w:top w:val="nil"/>
              <w:left w:val="single" w:color="auto" w:sz="4" w:space="0"/>
              <w:bottom w:val="single" w:color="auto" w:sz="4" w:space="0"/>
              <w:right w:val="single" w:color="auto" w:sz="4" w:space="0"/>
            </w:tcBorders>
            <w:shd w:val="clear" w:color="auto" w:fill="auto"/>
            <w:vAlign w:val="center"/>
          </w:tcPr>
          <w:p w14:paraId="6C046622">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b/>
                <w:bCs/>
                <w:kern w:val="0"/>
                <w:sz w:val="24"/>
                <w:szCs w:val="20"/>
                <w:lang w:val="en-US"/>
              </w:rPr>
            </w:pPr>
            <w:r>
              <w:rPr>
                <w:rFonts w:hint="default" w:ascii="Times New Roman" w:hAnsi="Times New Roman" w:eastAsia="方正仿宋_GBK" w:cs="Times New Roman"/>
                <w:b/>
                <w:bCs/>
                <w:kern w:val="0"/>
                <w:sz w:val="24"/>
                <w:szCs w:val="20"/>
                <w:lang w:val="en-US" w:eastAsia="zh-CN" w:bidi="ar"/>
              </w:rPr>
              <w:t>5.</w:t>
            </w:r>
            <w:r>
              <w:rPr>
                <w:rFonts w:hint="eastAsia" w:ascii="Times New Roman" w:hAnsi="方正仿宋_GBK" w:eastAsia="方正仿宋_GBK" w:cs="方正仿宋_GBK"/>
                <w:b/>
                <w:bCs/>
                <w:kern w:val="0"/>
                <w:sz w:val="24"/>
                <w:szCs w:val="20"/>
                <w:lang w:val="en-US" w:eastAsia="zh-CN" w:bidi="ar"/>
              </w:rPr>
              <w:t>探索推行差异</w:t>
            </w:r>
            <w:r>
              <w:rPr>
                <w:rFonts w:hint="eastAsia" w:hAnsi="方正仿宋_GBK" w:eastAsia="方正仿宋_GBK" w:cs="方正仿宋_GBK"/>
                <w:b/>
                <w:bCs/>
                <w:kern w:val="0"/>
                <w:sz w:val="24"/>
                <w:szCs w:val="20"/>
                <w:lang w:val="en-US" w:eastAsia="zh-CN" w:bidi="ar"/>
              </w:rPr>
              <w:t>化</w:t>
            </w:r>
            <w:r>
              <w:rPr>
                <w:rFonts w:hint="eastAsia" w:ascii="Times New Roman" w:hAnsi="方正仿宋_GBK" w:eastAsia="方正仿宋_GBK" w:cs="方正仿宋_GBK"/>
                <w:b/>
                <w:bCs/>
                <w:kern w:val="0"/>
                <w:sz w:val="24"/>
                <w:szCs w:val="20"/>
                <w:lang w:val="en-US" w:eastAsia="zh-CN" w:bidi="ar"/>
              </w:rPr>
              <w:t>收费政策</w:t>
            </w:r>
          </w:p>
        </w:tc>
        <w:tc>
          <w:tcPr>
            <w:tcW w:w="6554" w:type="dxa"/>
            <w:tcBorders>
              <w:top w:val="nil"/>
              <w:left w:val="nil"/>
              <w:bottom w:val="single" w:color="auto" w:sz="4" w:space="0"/>
              <w:right w:val="single" w:color="auto" w:sz="4" w:space="0"/>
            </w:tcBorders>
            <w:shd w:val="clear" w:color="auto" w:fill="auto"/>
            <w:vAlign w:val="center"/>
          </w:tcPr>
          <w:p w14:paraId="6B8723FB">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根据市级最新标准，结合我区实际，重新论证、核准路内停车位收费标准。</w:t>
            </w:r>
          </w:p>
        </w:tc>
        <w:tc>
          <w:tcPr>
            <w:tcW w:w="1788" w:type="dxa"/>
            <w:tcBorders>
              <w:top w:val="nil"/>
              <w:left w:val="nil"/>
              <w:bottom w:val="single" w:color="auto" w:sz="4" w:space="0"/>
              <w:right w:val="single" w:color="auto" w:sz="4" w:space="0"/>
            </w:tcBorders>
            <w:shd w:val="clear" w:color="auto" w:fill="auto"/>
            <w:vAlign w:val="center"/>
          </w:tcPr>
          <w:p w14:paraId="3A18911E">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rFonts w:hint="default"/>
                <w:color w:val="0000FF"/>
                <w:kern w:val="0"/>
                <w:sz w:val="24"/>
                <w:szCs w:val="20"/>
                <w:lang w:val="en-US"/>
              </w:rPr>
            </w:pPr>
            <w:r>
              <w:rPr>
                <w:rFonts w:hint="eastAsia" w:ascii="Times New Roman" w:hAnsi="方正仿宋_GBK" w:eastAsia="方正仿宋_GBK" w:cs="方正仿宋_GBK"/>
                <w:kern w:val="0"/>
                <w:sz w:val="24"/>
                <w:szCs w:val="20"/>
                <w:lang w:val="en-US" w:eastAsia="zh-CN" w:bidi="ar"/>
              </w:rPr>
              <w:t>区发展改革委</w:t>
            </w:r>
          </w:p>
        </w:tc>
        <w:tc>
          <w:tcPr>
            <w:tcW w:w="1833" w:type="dxa"/>
            <w:tcBorders>
              <w:top w:val="nil"/>
              <w:left w:val="nil"/>
              <w:bottom w:val="single" w:color="auto" w:sz="4" w:space="0"/>
              <w:right w:val="single" w:color="auto" w:sz="4" w:space="0"/>
            </w:tcBorders>
            <w:shd w:val="clear" w:color="auto" w:fill="auto"/>
            <w:vAlign w:val="center"/>
          </w:tcPr>
          <w:p w14:paraId="0AF3D0C5">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区城市管理局、区城投集团</w:t>
            </w:r>
          </w:p>
        </w:tc>
        <w:tc>
          <w:tcPr>
            <w:tcW w:w="1696" w:type="dxa"/>
            <w:tcBorders>
              <w:top w:val="nil"/>
              <w:left w:val="nil"/>
              <w:bottom w:val="single" w:color="auto" w:sz="4" w:space="0"/>
              <w:right w:val="single" w:color="auto" w:sz="4" w:space="0"/>
            </w:tcBorders>
            <w:shd w:val="clear" w:color="auto" w:fill="auto"/>
            <w:vAlign w:val="center"/>
          </w:tcPr>
          <w:p w14:paraId="7070EAD9">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2022</w:t>
            </w:r>
            <w:r>
              <w:rPr>
                <w:rFonts w:hint="eastAsia" w:ascii="Times New Roman" w:hAnsi="方正仿宋_GBK" w:eastAsia="方正仿宋_GBK" w:cs="方正仿宋_GBK"/>
                <w:kern w:val="0"/>
                <w:sz w:val="24"/>
                <w:szCs w:val="20"/>
                <w:lang w:val="en-US" w:eastAsia="zh-CN" w:bidi="ar"/>
              </w:rPr>
              <w:t>年</w:t>
            </w:r>
            <w:r>
              <w:rPr>
                <w:rFonts w:hint="default" w:ascii="Times New Roman" w:hAnsi="Times New Roman" w:eastAsia="方正仿宋_GBK" w:cs="Times New Roman"/>
                <w:kern w:val="0"/>
                <w:sz w:val="24"/>
                <w:szCs w:val="20"/>
                <w:lang w:val="en-US" w:eastAsia="zh-CN" w:bidi="ar"/>
              </w:rPr>
              <w:t>8</w:t>
            </w:r>
            <w:r>
              <w:rPr>
                <w:rFonts w:hint="eastAsia" w:ascii="Times New Roman" w:hAnsi="方正仿宋_GBK" w:eastAsia="方正仿宋_GBK" w:cs="方正仿宋_GBK"/>
                <w:kern w:val="0"/>
                <w:sz w:val="24"/>
                <w:szCs w:val="20"/>
                <w:lang w:val="en-US" w:eastAsia="zh-CN" w:bidi="ar"/>
              </w:rPr>
              <w:t>月</w:t>
            </w:r>
            <w:r>
              <w:rPr>
                <w:rFonts w:hint="default" w:ascii="Times New Roman" w:hAnsi="Times New Roman" w:eastAsia="方正仿宋_GBK" w:cs="Times New Roman"/>
                <w:kern w:val="0"/>
                <w:sz w:val="24"/>
                <w:szCs w:val="20"/>
                <w:lang w:val="en-US" w:eastAsia="zh-CN" w:bidi="ar"/>
              </w:rPr>
              <w:t>31</w:t>
            </w:r>
            <w:r>
              <w:rPr>
                <w:rFonts w:hint="eastAsia" w:ascii="Times New Roman" w:hAnsi="方正仿宋_GBK" w:eastAsia="方正仿宋_GBK" w:cs="方正仿宋_GBK"/>
                <w:kern w:val="0"/>
                <w:sz w:val="24"/>
                <w:szCs w:val="20"/>
                <w:lang w:val="en-US" w:eastAsia="zh-CN" w:bidi="ar"/>
              </w:rPr>
              <w:t>日前</w:t>
            </w:r>
          </w:p>
        </w:tc>
      </w:tr>
      <w:tr w14:paraId="33B68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526" w:type="dxa"/>
            <w:tcBorders>
              <w:top w:val="nil"/>
              <w:left w:val="single" w:color="auto" w:sz="4" w:space="0"/>
              <w:bottom w:val="single" w:color="auto" w:sz="4" w:space="0"/>
              <w:right w:val="single" w:color="auto" w:sz="4" w:space="0"/>
            </w:tcBorders>
            <w:shd w:val="clear" w:color="auto" w:fill="auto"/>
            <w:vAlign w:val="center"/>
          </w:tcPr>
          <w:p w14:paraId="7DF1F50D">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8</w:t>
            </w:r>
          </w:p>
        </w:tc>
        <w:tc>
          <w:tcPr>
            <w:tcW w:w="936" w:type="dxa"/>
            <w:vMerge w:val="continue"/>
            <w:tcBorders>
              <w:top w:val="nil"/>
              <w:left w:val="nil"/>
              <w:bottom w:val="single" w:color="auto" w:sz="4" w:space="0"/>
              <w:right w:val="single" w:color="auto" w:sz="4" w:space="0"/>
            </w:tcBorders>
            <w:shd w:val="clear" w:color="auto" w:fill="auto"/>
            <w:vAlign w:val="center"/>
          </w:tcPr>
          <w:p w14:paraId="35921FA6">
            <w:pPr>
              <w:keepNext w:val="0"/>
              <w:keepLines w:val="0"/>
              <w:pageBreakBefore w:val="0"/>
              <w:suppressLineNumbers w:val="0"/>
              <w:kinsoku/>
              <w:wordWrap/>
              <w:overflowPunct/>
              <w:topLinePunct w:val="0"/>
              <w:bidi w:val="0"/>
              <w:spacing w:before="0" w:beforeAutospacing="0" w:after="0" w:afterAutospacing="0" w:line="600" w:lineRule="exact"/>
              <w:ind w:left="0" w:right="0"/>
              <w:textAlignment w:val="auto"/>
              <w:rPr>
                <w:rFonts w:hint="default" w:ascii="Calibri" w:hAnsi="Calibri" w:eastAsia="宋体" w:cs="Times New Roman"/>
                <w:kern w:val="2"/>
                <w:sz w:val="21"/>
                <w:szCs w:val="22"/>
              </w:rPr>
            </w:pPr>
          </w:p>
        </w:tc>
        <w:tc>
          <w:tcPr>
            <w:tcW w:w="1145" w:type="dxa"/>
            <w:vMerge w:val="continue"/>
            <w:tcBorders>
              <w:top w:val="nil"/>
              <w:left w:val="single" w:color="auto" w:sz="4" w:space="0"/>
              <w:bottom w:val="single" w:color="auto" w:sz="4" w:space="0"/>
              <w:right w:val="single" w:color="auto" w:sz="4" w:space="0"/>
            </w:tcBorders>
            <w:shd w:val="clear" w:color="auto" w:fill="auto"/>
            <w:vAlign w:val="center"/>
          </w:tcPr>
          <w:p w14:paraId="0BA25664">
            <w:pPr>
              <w:keepNext w:val="0"/>
              <w:keepLines w:val="0"/>
              <w:pageBreakBefore w:val="0"/>
              <w:suppressLineNumbers w:val="0"/>
              <w:kinsoku/>
              <w:wordWrap/>
              <w:overflowPunct/>
              <w:topLinePunct w:val="0"/>
              <w:bidi w:val="0"/>
              <w:spacing w:before="0" w:beforeAutospacing="0" w:after="0" w:afterAutospacing="0" w:line="600" w:lineRule="exact"/>
              <w:ind w:left="0" w:right="0"/>
              <w:textAlignment w:val="auto"/>
              <w:rPr>
                <w:rFonts w:hint="default" w:ascii="Calibri" w:hAnsi="Calibri" w:eastAsia="宋体" w:cs="Times New Roman"/>
                <w:kern w:val="2"/>
                <w:sz w:val="21"/>
                <w:szCs w:val="22"/>
              </w:rPr>
            </w:pPr>
          </w:p>
        </w:tc>
        <w:tc>
          <w:tcPr>
            <w:tcW w:w="6554" w:type="dxa"/>
            <w:tcBorders>
              <w:top w:val="nil"/>
              <w:left w:val="nil"/>
              <w:bottom w:val="single" w:color="auto" w:sz="4" w:space="0"/>
              <w:right w:val="single" w:color="auto" w:sz="4" w:space="0"/>
            </w:tcBorders>
            <w:shd w:val="clear" w:color="auto" w:fill="auto"/>
            <w:vAlign w:val="center"/>
          </w:tcPr>
          <w:p w14:paraId="39FC6855">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协商小区停车场运行管理主体适当下调车库临停车辆收费标准。</w:t>
            </w:r>
          </w:p>
        </w:tc>
        <w:tc>
          <w:tcPr>
            <w:tcW w:w="1788" w:type="dxa"/>
            <w:tcBorders>
              <w:top w:val="nil"/>
              <w:left w:val="nil"/>
              <w:bottom w:val="single" w:color="auto" w:sz="4" w:space="0"/>
              <w:right w:val="single" w:color="auto" w:sz="4" w:space="0"/>
            </w:tcBorders>
            <w:shd w:val="clear" w:color="auto" w:fill="auto"/>
            <w:vAlign w:val="center"/>
          </w:tcPr>
          <w:p w14:paraId="43CEF4A4">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color w:val="0000FF"/>
                <w:kern w:val="0"/>
                <w:sz w:val="24"/>
                <w:szCs w:val="20"/>
                <w:lang w:val="en-US"/>
              </w:rPr>
            </w:pPr>
            <w:r>
              <w:rPr>
                <w:rFonts w:hint="eastAsia" w:ascii="Times New Roman" w:hAnsi="方正仿宋_GBK" w:eastAsia="方正仿宋_GBK" w:cs="方正仿宋_GBK"/>
                <w:kern w:val="0"/>
                <w:sz w:val="24"/>
                <w:szCs w:val="20"/>
                <w:lang w:val="en-US" w:eastAsia="zh-CN" w:bidi="ar"/>
              </w:rPr>
              <w:t>区发展改革委</w:t>
            </w:r>
          </w:p>
        </w:tc>
        <w:tc>
          <w:tcPr>
            <w:tcW w:w="1833" w:type="dxa"/>
            <w:tcBorders>
              <w:top w:val="nil"/>
              <w:left w:val="nil"/>
              <w:bottom w:val="single" w:color="auto" w:sz="4" w:space="0"/>
              <w:right w:val="single" w:color="auto" w:sz="4" w:space="0"/>
            </w:tcBorders>
            <w:shd w:val="clear" w:color="auto" w:fill="auto"/>
            <w:vAlign w:val="center"/>
          </w:tcPr>
          <w:p w14:paraId="3034D764">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区住房城乡建委、区城市管理局</w:t>
            </w:r>
          </w:p>
        </w:tc>
        <w:tc>
          <w:tcPr>
            <w:tcW w:w="1696" w:type="dxa"/>
            <w:tcBorders>
              <w:top w:val="nil"/>
              <w:left w:val="nil"/>
              <w:bottom w:val="single" w:color="auto" w:sz="4" w:space="0"/>
              <w:right w:val="single" w:color="auto" w:sz="4" w:space="0"/>
            </w:tcBorders>
            <w:shd w:val="clear" w:color="auto" w:fill="auto"/>
            <w:vAlign w:val="center"/>
          </w:tcPr>
          <w:p w14:paraId="15504422">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2022</w:t>
            </w:r>
            <w:r>
              <w:rPr>
                <w:rFonts w:hint="eastAsia" w:ascii="Times New Roman" w:hAnsi="方正仿宋_GBK" w:eastAsia="方正仿宋_GBK" w:cs="方正仿宋_GBK"/>
                <w:kern w:val="0"/>
                <w:sz w:val="24"/>
                <w:szCs w:val="20"/>
                <w:lang w:val="en-US" w:eastAsia="zh-CN" w:bidi="ar"/>
              </w:rPr>
              <w:t>年</w:t>
            </w:r>
            <w:r>
              <w:rPr>
                <w:rFonts w:hint="default" w:ascii="Times New Roman" w:hAnsi="Times New Roman" w:eastAsia="方正仿宋_GBK" w:cs="Times New Roman"/>
                <w:kern w:val="0"/>
                <w:sz w:val="24"/>
                <w:szCs w:val="20"/>
                <w:lang w:val="en-US" w:eastAsia="zh-CN" w:bidi="ar"/>
              </w:rPr>
              <w:t>12</w:t>
            </w:r>
            <w:r>
              <w:rPr>
                <w:rFonts w:hint="eastAsia" w:ascii="Times New Roman" w:hAnsi="方正仿宋_GBK" w:eastAsia="方正仿宋_GBK" w:cs="方正仿宋_GBK"/>
                <w:kern w:val="0"/>
                <w:sz w:val="24"/>
                <w:szCs w:val="20"/>
                <w:lang w:val="en-US" w:eastAsia="zh-CN" w:bidi="ar"/>
              </w:rPr>
              <w:t>月</w:t>
            </w:r>
            <w:r>
              <w:rPr>
                <w:rFonts w:hint="default" w:ascii="Times New Roman" w:hAnsi="Times New Roman" w:eastAsia="方正仿宋_GBK" w:cs="Times New Roman"/>
                <w:kern w:val="0"/>
                <w:sz w:val="24"/>
                <w:szCs w:val="20"/>
                <w:lang w:val="en-US" w:eastAsia="zh-CN" w:bidi="ar"/>
              </w:rPr>
              <w:t>31</w:t>
            </w:r>
            <w:r>
              <w:rPr>
                <w:rFonts w:hint="eastAsia" w:ascii="Times New Roman" w:hAnsi="方正仿宋_GBK" w:eastAsia="方正仿宋_GBK" w:cs="方正仿宋_GBK"/>
                <w:kern w:val="0"/>
                <w:sz w:val="24"/>
                <w:szCs w:val="20"/>
                <w:lang w:val="en-US" w:eastAsia="zh-CN" w:bidi="ar"/>
              </w:rPr>
              <w:t>日前</w:t>
            </w:r>
          </w:p>
        </w:tc>
      </w:tr>
      <w:tr w14:paraId="510EC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5" w:hRule="atLeast"/>
          <w:jc w:val="center"/>
        </w:trPr>
        <w:tc>
          <w:tcPr>
            <w:tcW w:w="526" w:type="dxa"/>
            <w:tcBorders>
              <w:top w:val="single" w:color="auto" w:sz="4" w:space="0"/>
              <w:left w:val="single" w:color="auto" w:sz="4" w:space="0"/>
              <w:bottom w:val="single" w:color="auto" w:sz="4" w:space="0"/>
              <w:right w:val="single" w:color="auto" w:sz="4" w:space="0"/>
            </w:tcBorders>
            <w:shd w:val="clear" w:color="auto" w:fill="auto"/>
            <w:vAlign w:val="center"/>
          </w:tcPr>
          <w:p w14:paraId="5DC5B4F8">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9</w:t>
            </w:r>
          </w:p>
        </w:tc>
        <w:tc>
          <w:tcPr>
            <w:tcW w:w="936" w:type="dxa"/>
            <w:tcBorders>
              <w:top w:val="single" w:color="auto" w:sz="4" w:space="0"/>
              <w:left w:val="nil"/>
              <w:bottom w:val="single" w:color="auto" w:sz="4" w:space="0"/>
              <w:right w:val="single" w:color="auto" w:sz="4" w:space="0"/>
            </w:tcBorders>
            <w:shd w:val="clear" w:color="auto" w:fill="auto"/>
            <w:vAlign w:val="center"/>
          </w:tcPr>
          <w:p w14:paraId="0CB5EB10">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rFonts w:eastAsia="方正楷体_GBK"/>
                <w:kern w:val="0"/>
                <w:sz w:val="24"/>
                <w:szCs w:val="20"/>
                <w:lang w:val="en-US"/>
              </w:rPr>
            </w:pPr>
            <w:r>
              <w:rPr>
                <w:rFonts w:hint="eastAsia" w:ascii="Times New Roman" w:hAnsi="方正楷体_GBK" w:eastAsia="方正楷体_GBK" w:cs="方正楷体_GBK"/>
                <w:kern w:val="0"/>
                <w:sz w:val="24"/>
                <w:szCs w:val="20"/>
                <w:lang w:val="en-US" w:eastAsia="zh-CN" w:bidi="ar"/>
              </w:rPr>
              <w:t>（三）</w:t>
            </w:r>
            <w:r>
              <w:rPr>
                <w:rFonts w:hint="default" w:ascii="Times New Roman" w:hAnsi="Times New Roman" w:eastAsia="方正楷体_GBK" w:cs="Times New Roman"/>
                <w:kern w:val="0"/>
                <w:sz w:val="24"/>
                <w:szCs w:val="20"/>
                <w:lang w:val="en-US" w:eastAsia="zh-CN" w:bidi="ar"/>
              </w:rPr>
              <w:br w:type="textWrapping"/>
            </w:r>
            <w:r>
              <w:rPr>
                <w:rFonts w:hint="eastAsia" w:ascii="Times New Roman" w:hAnsi="方正楷体_GBK" w:eastAsia="方正楷体_GBK" w:cs="方正楷体_GBK"/>
                <w:kern w:val="0"/>
                <w:sz w:val="24"/>
                <w:szCs w:val="20"/>
                <w:lang w:val="en-US" w:eastAsia="zh-CN" w:bidi="ar"/>
              </w:rPr>
              <w:t>解决停车难停车乱问题</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38B1772E">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b/>
                <w:bCs/>
                <w:kern w:val="0"/>
                <w:sz w:val="24"/>
                <w:szCs w:val="20"/>
                <w:lang w:val="en-US"/>
              </w:rPr>
            </w:pPr>
            <w:r>
              <w:rPr>
                <w:rFonts w:hint="default" w:ascii="Times New Roman" w:hAnsi="Times New Roman" w:eastAsia="方正仿宋_GBK" w:cs="Times New Roman"/>
                <w:b/>
                <w:bCs/>
                <w:kern w:val="0"/>
                <w:sz w:val="24"/>
                <w:szCs w:val="20"/>
                <w:lang w:val="en-US" w:eastAsia="zh-CN" w:bidi="ar"/>
              </w:rPr>
              <w:t>6.</w:t>
            </w:r>
            <w:r>
              <w:rPr>
                <w:rFonts w:hint="default" w:ascii="Times New Roman" w:hAnsi="Times New Roman" w:eastAsia="方正仿宋_GBK" w:cs="Times New Roman"/>
                <w:kern w:val="2"/>
                <w:sz w:val="32"/>
                <w:szCs w:val="20"/>
                <w:lang w:val="en-US" w:eastAsia="zh-CN" w:bidi="ar"/>
              </w:rPr>
              <w:t xml:space="preserve"> </w:t>
            </w:r>
            <w:r>
              <w:rPr>
                <w:rFonts w:hint="eastAsia" w:ascii="Times New Roman" w:hAnsi="方正仿宋_GBK" w:eastAsia="方正仿宋_GBK" w:cs="方正仿宋_GBK"/>
                <w:b/>
                <w:bCs/>
                <w:kern w:val="0"/>
                <w:sz w:val="24"/>
                <w:szCs w:val="20"/>
                <w:lang w:val="en-US" w:eastAsia="zh-CN" w:bidi="ar"/>
              </w:rPr>
              <w:t>合理增设限时停车泊位</w:t>
            </w:r>
          </w:p>
        </w:tc>
        <w:tc>
          <w:tcPr>
            <w:tcW w:w="6554" w:type="dxa"/>
            <w:tcBorders>
              <w:top w:val="single" w:color="auto" w:sz="4" w:space="0"/>
              <w:left w:val="nil"/>
              <w:bottom w:val="single" w:color="auto" w:sz="4" w:space="0"/>
              <w:right w:val="single" w:color="auto" w:sz="4" w:space="0"/>
            </w:tcBorders>
            <w:shd w:val="clear" w:color="auto" w:fill="auto"/>
            <w:vAlign w:val="center"/>
          </w:tcPr>
          <w:p w14:paraId="0F63C74D">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在商业密集区域设置限时收费停车位约</w:t>
            </w:r>
            <w:r>
              <w:rPr>
                <w:rFonts w:hint="default" w:ascii="Times New Roman" w:hAnsi="Times New Roman" w:eastAsia="方正仿宋_GBK" w:cs="Times New Roman"/>
                <w:kern w:val="0"/>
                <w:sz w:val="24"/>
                <w:szCs w:val="20"/>
                <w:lang w:val="en-US" w:eastAsia="zh-CN" w:bidi="ar"/>
              </w:rPr>
              <w:t>210</w:t>
            </w:r>
            <w:r>
              <w:rPr>
                <w:rFonts w:hint="eastAsia" w:ascii="Times New Roman" w:hAnsi="方正仿宋_GBK" w:eastAsia="方正仿宋_GBK" w:cs="方正仿宋_GBK"/>
                <w:kern w:val="0"/>
                <w:sz w:val="24"/>
                <w:szCs w:val="20"/>
                <w:lang w:val="en-US" w:eastAsia="zh-CN" w:bidi="ar"/>
              </w:rPr>
              <w:t>个，凤江南路滨江一号段</w:t>
            </w:r>
            <w:r>
              <w:rPr>
                <w:rFonts w:hint="default" w:ascii="Times New Roman" w:hAnsi="Times New Roman" w:eastAsia="方正仿宋_GBK" w:cs="Times New Roman"/>
                <w:kern w:val="0"/>
                <w:sz w:val="24"/>
                <w:szCs w:val="20"/>
                <w:lang w:val="en-US" w:eastAsia="zh-CN" w:bidi="ar"/>
              </w:rPr>
              <w:t>201</w:t>
            </w:r>
            <w:r>
              <w:rPr>
                <w:rFonts w:hint="eastAsia" w:ascii="Times New Roman" w:hAnsi="方正仿宋_GBK" w:eastAsia="方正仿宋_GBK" w:cs="方正仿宋_GBK"/>
                <w:kern w:val="0"/>
                <w:sz w:val="24"/>
                <w:szCs w:val="20"/>
                <w:lang w:val="en-US" w:eastAsia="zh-CN" w:bidi="ar"/>
              </w:rPr>
              <w:t>米施划车位</w:t>
            </w:r>
            <w:r>
              <w:rPr>
                <w:rFonts w:hint="default" w:ascii="Times New Roman" w:hAnsi="Times New Roman" w:eastAsia="方正仿宋_GBK" w:cs="Times New Roman"/>
                <w:kern w:val="0"/>
                <w:sz w:val="24"/>
                <w:szCs w:val="20"/>
                <w:lang w:val="en-US" w:eastAsia="zh-CN" w:bidi="ar"/>
              </w:rPr>
              <w:t>33</w:t>
            </w:r>
            <w:r>
              <w:rPr>
                <w:rFonts w:hint="eastAsia" w:ascii="Times New Roman" w:hAnsi="方正仿宋_GBK" w:eastAsia="方正仿宋_GBK" w:cs="方正仿宋_GBK"/>
                <w:kern w:val="0"/>
                <w:sz w:val="24"/>
                <w:szCs w:val="20"/>
                <w:lang w:val="en-US" w:eastAsia="zh-CN" w:bidi="ar"/>
              </w:rPr>
              <w:t>个、龙井路康田熙岸段</w:t>
            </w:r>
            <w:r>
              <w:rPr>
                <w:rFonts w:hint="default" w:ascii="Times New Roman" w:hAnsi="Times New Roman" w:eastAsia="方正仿宋_GBK" w:cs="Times New Roman"/>
                <w:kern w:val="0"/>
                <w:sz w:val="24"/>
                <w:szCs w:val="20"/>
                <w:lang w:val="en-US" w:eastAsia="zh-CN" w:bidi="ar"/>
              </w:rPr>
              <w:t>245</w:t>
            </w:r>
            <w:r>
              <w:rPr>
                <w:rFonts w:hint="eastAsia" w:ascii="Times New Roman" w:hAnsi="方正仿宋_GBK" w:eastAsia="方正仿宋_GBK" w:cs="方正仿宋_GBK"/>
                <w:kern w:val="0"/>
                <w:sz w:val="24"/>
                <w:szCs w:val="20"/>
                <w:lang w:val="en-US" w:eastAsia="zh-CN" w:bidi="ar"/>
              </w:rPr>
              <w:t>米施划车位</w:t>
            </w:r>
            <w:r>
              <w:rPr>
                <w:rFonts w:hint="default" w:ascii="Times New Roman" w:hAnsi="Times New Roman" w:eastAsia="方正仿宋_GBK" w:cs="Times New Roman"/>
                <w:kern w:val="0"/>
                <w:sz w:val="24"/>
                <w:szCs w:val="20"/>
                <w:lang w:val="en-US" w:eastAsia="zh-CN" w:bidi="ar"/>
              </w:rPr>
              <w:t>40</w:t>
            </w:r>
            <w:r>
              <w:rPr>
                <w:rFonts w:hint="eastAsia" w:ascii="Times New Roman" w:hAnsi="方正仿宋_GBK" w:eastAsia="方正仿宋_GBK" w:cs="方正仿宋_GBK"/>
                <w:kern w:val="0"/>
                <w:sz w:val="24"/>
                <w:szCs w:val="20"/>
                <w:lang w:val="en-US" w:eastAsia="zh-CN" w:bidi="ar"/>
              </w:rPr>
              <w:t>个、学堂路香格里拉西苑段</w:t>
            </w:r>
            <w:r>
              <w:rPr>
                <w:rFonts w:hint="default" w:ascii="Times New Roman" w:hAnsi="Times New Roman" w:eastAsia="方正仿宋_GBK" w:cs="Times New Roman"/>
                <w:kern w:val="0"/>
                <w:sz w:val="24"/>
                <w:szCs w:val="20"/>
                <w:lang w:val="en-US" w:eastAsia="zh-CN" w:bidi="ar"/>
              </w:rPr>
              <w:t>200</w:t>
            </w:r>
            <w:r>
              <w:rPr>
                <w:rFonts w:hint="eastAsia" w:ascii="Times New Roman" w:hAnsi="方正仿宋_GBK" w:eastAsia="方正仿宋_GBK" w:cs="方正仿宋_GBK"/>
                <w:kern w:val="0"/>
                <w:sz w:val="24"/>
                <w:szCs w:val="20"/>
                <w:lang w:val="en-US" w:eastAsia="zh-CN" w:bidi="ar"/>
              </w:rPr>
              <w:t>米施划</w:t>
            </w:r>
            <w:r>
              <w:rPr>
                <w:rFonts w:hint="default" w:ascii="Times New Roman" w:hAnsi="Times New Roman" w:eastAsia="方正仿宋_GBK" w:cs="Times New Roman"/>
                <w:kern w:val="0"/>
                <w:sz w:val="24"/>
                <w:szCs w:val="20"/>
                <w:lang w:val="en-US" w:eastAsia="zh-CN" w:bidi="ar"/>
              </w:rPr>
              <w:t>35</w:t>
            </w:r>
            <w:r>
              <w:rPr>
                <w:rFonts w:hint="eastAsia" w:ascii="Times New Roman" w:hAnsi="方正仿宋_GBK" w:eastAsia="方正仿宋_GBK" w:cs="方正仿宋_GBK"/>
                <w:kern w:val="0"/>
                <w:sz w:val="24"/>
                <w:szCs w:val="20"/>
                <w:lang w:val="en-US" w:eastAsia="zh-CN" w:bidi="ar"/>
              </w:rPr>
              <w:t>个、东街路网</w:t>
            </w:r>
            <w:r>
              <w:rPr>
                <w:rFonts w:hint="default" w:ascii="Times New Roman" w:hAnsi="Times New Roman" w:eastAsia="方正仿宋_GBK" w:cs="Times New Roman"/>
                <w:kern w:val="0"/>
                <w:sz w:val="24"/>
                <w:szCs w:val="20"/>
                <w:lang w:val="en-US" w:eastAsia="zh-CN" w:bidi="ar"/>
              </w:rPr>
              <w:t>518</w:t>
            </w:r>
            <w:r>
              <w:rPr>
                <w:rFonts w:hint="eastAsia" w:ascii="Times New Roman" w:hAnsi="方正仿宋_GBK" w:eastAsia="方正仿宋_GBK" w:cs="方正仿宋_GBK"/>
                <w:kern w:val="0"/>
                <w:sz w:val="24"/>
                <w:szCs w:val="20"/>
                <w:lang w:val="en-US" w:eastAsia="zh-CN" w:bidi="ar"/>
              </w:rPr>
              <w:t>米施划车位</w:t>
            </w:r>
            <w:r>
              <w:rPr>
                <w:rFonts w:hint="default" w:ascii="Times New Roman" w:hAnsi="Times New Roman" w:eastAsia="方正仿宋_GBK" w:cs="Times New Roman"/>
                <w:kern w:val="0"/>
                <w:sz w:val="24"/>
                <w:szCs w:val="20"/>
                <w:lang w:val="en-US" w:eastAsia="zh-CN" w:bidi="ar"/>
              </w:rPr>
              <w:t>86</w:t>
            </w:r>
            <w:r>
              <w:rPr>
                <w:rFonts w:hint="eastAsia" w:ascii="Times New Roman" w:hAnsi="方正仿宋_GBK" w:eastAsia="方正仿宋_GBK" w:cs="方正仿宋_GBK"/>
                <w:kern w:val="0"/>
                <w:sz w:val="24"/>
                <w:szCs w:val="20"/>
                <w:lang w:val="en-US" w:eastAsia="zh-CN" w:bidi="ar"/>
              </w:rPr>
              <w:t>个、来游路锦辉雅居东苑段</w:t>
            </w:r>
            <w:r>
              <w:rPr>
                <w:rFonts w:hint="default" w:ascii="Times New Roman" w:hAnsi="Times New Roman" w:eastAsia="方正仿宋_GBK" w:cs="Times New Roman"/>
                <w:kern w:val="0"/>
                <w:sz w:val="24"/>
                <w:szCs w:val="20"/>
                <w:lang w:val="en-US" w:eastAsia="zh-CN" w:bidi="ar"/>
              </w:rPr>
              <w:t>100</w:t>
            </w:r>
            <w:r>
              <w:rPr>
                <w:rFonts w:hint="eastAsia" w:ascii="Times New Roman" w:hAnsi="方正仿宋_GBK" w:eastAsia="方正仿宋_GBK" w:cs="方正仿宋_GBK"/>
                <w:kern w:val="0"/>
                <w:sz w:val="24"/>
                <w:szCs w:val="20"/>
                <w:lang w:val="en-US" w:eastAsia="zh-CN" w:bidi="ar"/>
              </w:rPr>
              <w:t>米施划车位</w:t>
            </w:r>
            <w:r>
              <w:rPr>
                <w:rFonts w:hint="default" w:ascii="Times New Roman" w:hAnsi="Times New Roman" w:eastAsia="方正仿宋_GBK" w:cs="Times New Roman"/>
                <w:kern w:val="0"/>
                <w:sz w:val="24"/>
                <w:szCs w:val="20"/>
                <w:lang w:val="en-US" w:eastAsia="zh-CN" w:bidi="ar"/>
              </w:rPr>
              <w:t>16</w:t>
            </w:r>
            <w:r>
              <w:rPr>
                <w:rFonts w:hint="eastAsia" w:ascii="Times New Roman" w:hAnsi="方正仿宋_GBK" w:eastAsia="方正仿宋_GBK" w:cs="方正仿宋_GBK"/>
                <w:kern w:val="0"/>
                <w:sz w:val="24"/>
                <w:szCs w:val="20"/>
                <w:lang w:val="en-US" w:eastAsia="zh-CN" w:bidi="ar"/>
              </w:rPr>
              <w:t>个。在学校、医院、公厕门口、商家卸货出入口等区域合理设置限时停车位，允许车辆在</w:t>
            </w:r>
            <w:r>
              <w:rPr>
                <w:rFonts w:hint="default" w:ascii="Times New Roman" w:hAnsi="Times New Roman" w:eastAsia="方正仿宋_GBK" w:cs="Times New Roman"/>
                <w:kern w:val="0"/>
                <w:sz w:val="24"/>
                <w:szCs w:val="20"/>
                <w:lang w:val="en-US" w:eastAsia="zh-CN" w:bidi="ar"/>
              </w:rPr>
              <w:t>30</w:t>
            </w:r>
            <w:r>
              <w:rPr>
                <w:rFonts w:hint="eastAsia" w:ascii="Times New Roman" w:hAnsi="方正仿宋_GBK" w:eastAsia="方正仿宋_GBK" w:cs="方正仿宋_GBK"/>
                <w:kern w:val="0"/>
                <w:sz w:val="24"/>
                <w:szCs w:val="20"/>
                <w:lang w:val="en-US" w:eastAsia="zh-CN" w:bidi="ar"/>
              </w:rPr>
              <w:t>分钟内临时停放。</w:t>
            </w:r>
          </w:p>
        </w:tc>
        <w:tc>
          <w:tcPr>
            <w:tcW w:w="1788" w:type="dxa"/>
            <w:tcBorders>
              <w:top w:val="single" w:color="auto" w:sz="4" w:space="0"/>
              <w:left w:val="nil"/>
              <w:bottom w:val="single" w:color="auto" w:sz="4" w:space="0"/>
              <w:right w:val="single" w:color="auto" w:sz="4" w:space="0"/>
            </w:tcBorders>
            <w:shd w:val="clear" w:color="auto" w:fill="auto"/>
            <w:vAlign w:val="center"/>
          </w:tcPr>
          <w:p w14:paraId="6C3A9CF2">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区城市管理局、区城投集团</w:t>
            </w:r>
          </w:p>
        </w:tc>
        <w:tc>
          <w:tcPr>
            <w:tcW w:w="1833" w:type="dxa"/>
            <w:tcBorders>
              <w:top w:val="single" w:color="auto" w:sz="4" w:space="0"/>
              <w:left w:val="nil"/>
              <w:bottom w:val="single" w:color="auto" w:sz="4" w:space="0"/>
              <w:right w:val="single" w:color="auto" w:sz="4" w:space="0"/>
            </w:tcBorders>
            <w:shd w:val="clear" w:color="auto" w:fill="auto"/>
            <w:vAlign w:val="center"/>
          </w:tcPr>
          <w:p w14:paraId="2FC6BC7B">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区公安交巡警支队、区商务委</w:t>
            </w:r>
          </w:p>
        </w:tc>
        <w:tc>
          <w:tcPr>
            <w:tcW w:w="1696" w:type="dxa"/>
            <w:tcBorders>
              <w:top w:val="single" w:color="auto" w:sz="4" w:space="0"/>
              <w:left w:val="nil"/>
              <w:bottom w:val="single" w:color="auto" w:sz="4" w:space="0"/>
              <w:right w:val="single" w:color="auto" w:sz="4" w:space="0"/>
            </w:tcBorders>
            <w:shd w:val="clear" w:color="auto" w:fill="auto"/>
            <w:vAlign w:val="center"/>
          </w:tcPr>
          <w:p w14:paraId="5BD21224">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2022</w:t>
            </w:r>
            <w:r>
              <w:rPr>
                <w:rFonts w:hint="eastAsia" w:ascii="Times New Roman" w:hAnsi="方正仿宋_GBK" w:eastAsia="方正仿宋_GBK" w:cs="方正仿宋_GBK"/>
                <w:kern w:val="0"/>
                <w:sz w:val="24"/>
                <w:szCs w:val="20"/>
                <w:lang w:val="en-US" w:eastAsia="zh-CN" w:bidi="ar"/>
              </w:rPr>
              <w:t>年</w:t>
            </w:r>
            <w:r>
              <w:rPr>
                <w:rFonts w:hint="default" w:ascii="Times New Roman" w:hAnsi="Times New Roman" w:eastAsia="方正仿宋_GBK" w:cs="Times New Roman"/>
                <w:kern w:val="0"/>
                <w:sz w:val="24"/>
                <w:szCs w:val="20"/>
                <w:lang w:val="en-US" w:eastAsia="zh-CN" w:bidi="ar"/>
              </w:rPr>
              <w:t>8</w:t>
            </w:r>
            <w:r>
              <w:rPr>
                <w:rFonts w:hint="eastAsia" w:ascii="Times New Roman" w:hAnsi="方正仿宋_GBK" w:eastAsia="方正仿宋_GBK" w:cs="方正仿宋_GBK"/>
                <w:kern w:val="0"/>
                <w:sz w:val="24"/>
                <w:szCs w:val="20"/>
                <w:lang w:val="en-US" w:eastAsia="zh-CN" w:bidi="ar"/>
              </w:rPr>
              <w:t>月</w:t>
            </w:r>
            <w:r>
              <w:rPr>
                <w:rFonts w:hint="default" w:ascii="Times New Roman" w:hAnsi="Times New Roman" w:eastAsia="方正仿宋_GBK" w:cs="Times New Roman"/>
                <w:kern w:val="0"/>
                <w:sz w:val="24"/>
                <w:szCs w:val="20"/>
                <w:lang w:val="en-US" w:eastAsia="zh-CN" w:bidi="ar"/>
              </w:rPr>
              <w:t>31</w:t>
            </w:r>
            <w:r>
              <w:rPr>
                <w:rFonts w:hint="eastAsia" w:ascii="Times New Roman" w:hAnsi="方正仿宋_GBK" w:eastAsia="方正仿宋_GBK" w:cs="方正仿宋_GBK"/>
                <w:kern w:val="0"/>
                <w:sz w:val="24"/>
                <w:szCs w:val="20"/>
                <w:lang w:val="en-US" w:eastAsia="zh-CN" w:bidi="ar"/>
              </w:rPr>
              <w:t>日前</w:t>
            </w:r>
          </w:p>
        </w:tc>
      </w:tr>
      <w:tr w14:paraId="1A43E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526" w:type="dxa"/>
            <w:tcBorders>
              <w:top w:val="single" w:color="auto" w:sz="4" w:space="0"/>
              <w:left w:val="single" w:color="auto" w:sz="4" w:space="0"/>
              <w:bottom w:val="single" w:color="auto" w:sz="4" w:space="0"/>
              <w:right w:val="single" w:color="auto" w:sz="4" w:space="0"/>
            </w:tcBorders>
            <w:shd w:val="clear" w:color="auto" w:fill="auto"/>
            <w:vAlign w:val="center"/>
          </w:tcPr>
          <w:p w14:paraId="6A617A56">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10</w:t>
            </w: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CC9AF9">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jc w:val="center"/>
              <w:textAlignment w:val="auto"/>
              <w:rPr>
                <w:rFonts w:eastAsia="方正楷体_GBK"/>
                <w:kern w:val="0"/>
                <w:sz w:val="24"/>
                <w:szCs w:val="20"/>
                <w:lang w:val="en-US"/>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477AFB63">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b/>
                <w:bCs/>
                <w:kern w:val="0"/>
                <w:sz w:val="24"/>
                <w:szCs w:val="20"/>
                <w:lang w:val="en-US"/>
              </w:rPr>
            </w:pPr>
          </w:p>
        </w:tc>
        <w:tc>
          <w:tcPr>
            <w:tcW w:w="6554" w:type="dxa"/>
            <w:tcBorders>
              <w:top w:val="single" w:color="auto" w:sz="4" w:space="0"/>
              <w:left w:val="single" w:color="auto" w:sz="4" w:space="0"/>
              <w:bottom w:val="single" w:color="auto" w:sz="4" w:space="0"/>
              <w:right w:val="single" w:color="auto" w:sz="4" w:space="0"/>
            </w:tcBorders>
            <w:shd w:val="clear" w:color="auto" w:fill="auto"/>
            <w:vAlign w:val="center"/>
          </w:tcPr>
          <w:p w14:paraId="2A353565">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在符合安全管理和基本通行条件下，适当利用老旧小区内部及周边路段设置夜间限时停车泊位。</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94453E2">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区城市管理局、各街道办事处</w:t>
            </w:r>
          </w:p>
        </w:tc>
        <w:tc>
          <w:tcPr>
            <w:tcW w:w="1833" w:type="dxa"/>
            <w:tcBorders>
              <w:top w:val="single" w:color="auto" w:sz="4" w:space="0"/>
              <w:left w:val="nil"/>
              <w:bottom w:val="single" w:color="auto" w:sz="4" w:space="0"/>
              <w:right w:val="single" w:color="auto" w:sz="4" w:space="0"/>
            </w:tcBorders>
            <w:shd w:val="clear" w:color="auto" w:fill="auto"/>
            <w:vAlign w:val="center"/>
          </w:tcPr>
          <w:p w14:paraId="38414556">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区公安交巡警支队</w:t>
            </w:r>
          </w:p>
        </w:tc>
        <w:tc>
          <w:tcPr>
            <w:tcW w:w="1696" w:type="dxa"/>
            <w:tcBorders>
              <w:top w:val="single" w:color="auto" w:sz="4" w:space="0"/>
              <w:left w:val="nil"/>
              <w:bottom w:val="single" w:color="auto" w:sz="4" w:space="0"/>
              <w:right w:val="single" w:color="auto" w:sz="4" w:space="0"/>
            </w:tcBorders>
            <w:shd w:val="clear" w:color="auto" w:fill="auto"/>
            <w:vAlign w:val="center"/>
          </w:tcPr>
          <w:p w14:paraId="7382A8BE">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2022</w:t>
            </w:r>
            <w:r>
              <w:rPr>
                <w:rFonts w:hint="eastAsia" w:ascii="Times New Roman" w:hAnsi="方正仿宋_GBK" w:eastAsia="方正仿宋_GBK" w:cs="方正仿宋_GBK"/>
                <w:kern w:val="0"/>
                <w:sz w:val="24"/>
                <w:szCs w:val="20"/>
                <w:lang w:val="en-US" w:eastAsia="zh-CN" w:bidi="ar"/>
              </w:rPr>
              <w:t>年</w:t>
            </w:r>
            <w:r>
              <w:rPr>
                <w:rFonts w:hint="default" w:ascii="Times New Roman" w:hAnsi="Times New Roman" w:eastAsia="方正仿宋_GBK" w:cs="Times New Roman"/>
                <w:kern w:val="0"/>
                <w:sz w:val="24"/>
                <w:szCs w:val="20"/>
                <w:lang w:val="en-US" w:eastAsia="zh-CN" w:bidi="ar"/>
              </w:rPr>
              <w:t>8</w:t>
            </w:r>
            <w:r>
              <w:rPr>
                <w:rFonts w:hint="eastAsia" w:ascii="Times New Roman" w:hAnsi="方正仿宋_GBK" w:eastAsia="方正仿宋_GBK" w:cs="方正仿宋_GBK"/>
                <w:kern w:val="0"/>
                <w:sz w:val="24"/>
                <w:szCs w:val="20"/>
                <w:lang w:val="en-US" w:eastAsia="zh-CN" w:bidi="ar"/>
              </w:rPr>
              <w:t>月</w:t>
            </w:r>
            <w:r>
              <w:rPr>
                <w:rFonts w:hint="default" w:ascii="Times New Roman" w:hAnsi="Times New Roman" w:eastAsia="方正仿宋_GBK" w:cs="Times New Roman"/>
                <w:kern w:val="0"/>
                <w:sz w:val="24"/>
                <w:szCs w:val="20"/>
                <w:lang w:val="en-US" w:eastAsia="zh-CN" w:bidi="ar"/>
              </w:rPr>
              <w:t>31</w:t>
            </w:r>
            <w:r>
              <w:rPr>
                <w:rFonts w:hint="eastAsia" w:ascii="Times New Roman" w:hAnsi="方正仿宋_GBK" w:eastAsia="方正仿宋_GBK" w:cs="方正仿宋_GBK"/>
                <w:kern w:val="0"/>
                <w:sz w:val="24"/>
                <w:szCs w:val="20"/>
                <w:lang w:val="en-US" w:eastAsia="zh-CN" w:bidi="ar"/>
              </w:rPr>
              <w:t>日前</w:t>
            </w:r>
          </w:p>
        </w:tc>
      </w:tr>
      <w:tr w14:paraId="4CD0A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526" w:type="dxa"/>
            <w:tcBorders>
              <w:top w:val="single" w:color="auto" w:sz="4" w:space="0"/>
              <w:left w:val="single" w:color="auto" w:sz="4" w:space="0"/>
              <w:bottom w:val="single" w:color="auto" w:sz="4" w:space="0"/>
              <w:right w:val="single" w:color="auto" w:sz="4" w:space="0"/>
            </w:tcBorders>
            <w:shd w:val="clear" w:color="auto" w:fill="auto"/>
            <w:vAlign w:val="center"/>
          </w:tcPr>
          <w:p w14:paraId="2A21592D">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11</w:t>
            </w: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61E907">
            <w:pPr>
              <w:keepNext w:val="0"/>
              <w:keepLines w:val="0"/>
              <w:pageBreakBefore w:val="0"/>
              <w:suppressLineNumbers w:val="0"/>
              <w:kinsoku/>
              <w:wordWrap/>
              <w:overflowPunct/>
              <w:topLinePunct w:val="0"/>
              <w:bidi w:val="0"/>
              <w:spacing w:before="0" w:beforeAutospacing="0" w:after="0" w:afterAutospacing="0" w:line="600" w:lineRule="exact"/>
              <w:ind w:left="0" w:right="0"/>
              <w:textAlignment w:val="auto"/>
              <w:rPr>
                <w:rFonts w:hint="default" w:ascii="Calibri" w:hAnsi="Calibri" w:eastAsia="宋体" w:cs="Times New Roman"/>
                <w:kern w:val="2"/>
                <w:sz w:val="21"/>
                <w:szCs w:val="22"/>
              </w:rPr>
            </w:pPr>
          </w:p>
        </w:tc>
        <w:tc>
          <w:tcPr>
            <w:tcW w:w="11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73CD5B">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jc w:val="both"/>
              <w:textAlignment w:val="auto"/>
              <w:rPr>
                <w:b/>
                <w:bCs/>
                <w:kern w:val="0"/>
                <w:sz w:val="24"/>
                <w:szCs w:val="20"/>
                <w:lang w:val="en-US"/>
              </w:rPr>
            </w:pPr>
            <w:r>
              <w:rPr>
                <w:rFonts w:hint="default" w:ascii="Times New Roman" w:hAnsi="Times New Roman" w:eastAsia="方正仿宋_GBK" w:cs="Times New Roman"/>
                <w:b/>
                <w:bCs/>
                <w:kern w:val="0"/>
                <w:sz w:val="24"/>
                <w:szCs w:val="20"/>
                <w:lang w:val="en-US" w:eastAsia="zh-CN" w:bidi="ar"/>
              </w:rPr>
              <w:t>7.</w:t>
            </w:r>
            <w:r>
              <w:rPr>
                <w:rFonts w:hint="eastAsia" w:ascii="Times New Roman" w:hAnsi="方正仿宋_GBK" w:eastAsia="方正仿宋_GBK" w:cs="方正仿宋_GBK"/>
                <w:b/>
                <w:bCs/>
                <w:kern w:val="0"/>
                <w:sz w:val="24"/>
                <w:szCs w:val="20"/>
                <w:lang w:val="en-US" w:eastAsia="zh-CN" w:bidi="ar"/>
              </w:rPr>
              <w:t>全面加强停车专项执法</w:t>
            </w:r>
          </w:p>
        </w:tc>
        <w:tc>
          <w:tcPr>
            <w:tcW w:w="6554" w:type="dxa"/>
            <w:tcBorders>
              <w:top w:val="single" w:color="auto" w:sz="4" w:space="0"/>
              <w:left w:val="nil"/>
              <w:bottom w:val="single" w:color="auto" w:sz="4" w:space="0"/>
              <w:right w:val="single" w:color="auto" w:sz="4" w:space="0"/>
            </w:tcBorders>
            <w:shd w:val="clear" w:color="auto" w:fill="auto"/>
            <w:vAlign w:val="center"/>
          </w:tcPr>
          <w:p w14:paraId="079F0683">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增强执法力量，由区公安交巡警支队牵头，区城市管理局派</w:t>
            </w:r>
            <w:r>
              <w:rPr>
                <w:rFonts w:hint="default" w:ascii="Times New Roman" w:hAnsi="Times New Roman" w:eastAsia="方正仿宋_GBK" w:cs="Times New Roman"/>
                <w:kern w:val="0"/>
                <w:sz w:val="24"/>
                <w:szCs w:val="20"/>
                <w:lang w:val="en-US" w:eastAsia="zh-CN" w:bidi="ar"/>
              </w:rPr>
              <w:t>2</w:t>
            </w:r>
            <w:r>
              <w:rPr>
                <w:rFonts w:hint="eastAsia" w:ascii="Times New Roman" w:hAnsi="方正仿宋_GBK" w:eastAsia="方正仿宋_GBK" w:cs="方正仿宋_GBK"/>
                <w:kern w:val="0"/>
                <w:sz w:val="24"/>
                <w:szCs w:val="20"/>
                <w:lang w:val="en-US" w:eastAsia="zh-CN" w:bidi="ar"/>
              </w:rPr>
              <w:t>名正式执法人员配合，配备</w:t>
            </w:r>
            <w:r>
              <w:rPr>
                <w:rFonts w:hint="default" w:ascii="Times New Roman" w:hAnsi="Times New Roman" w:eastAsia="方正仿宋_GBK" w:cs="Times New Roman"/>
                <w:kern w:val="0"/>
                <w:sz w:val="24"/>
                <w:szCs w:val="20"/>
                <w:lang w:val="en-US" w:eastAsia="zh-CN" w:bidi="ar"/>
              </w:rPr>
              <w:t>20</w:t>
            </w:r>
            <w:r>
              <w:rPr>
                <w:rFonts w:hint="eastAsia" w:ascii="Times New Roman" w:hAnsi="方正仿宋_GBK" w:eastAsia="方正仿宋_GBK" w:cs="方正仿宋_GBK"/>
                <w:kern w:val="0"/>
                <w:sz w:val="24"/>
                <w:szCs w:val="20"/>
                <w:lang w:val="en-US" w:eastAsia="zh-CN" w:bidi="ar"/>
              </w:rPr>
              <w:t>名协管人员，组建停车管理执法队伍，负责城区停车执法工作。</w:t>
            </w:r>
          </w:p>
        </w:tc>
        <w:tc>
          <w:tcPr>
            <w:tcW w:w="1788" w:type="dxa"/>
            <w:tcBorders>
              <w:top w:val="nil"/>
              <w:left w:val="nil"/>
              <w:bottom w:val="single" w:color="auto" w:sz="4" w:space="0"/>
              <w:right w:val="single" w:color="auto" w:sz="4" w:space="0"/>
            </w:tcBorders>
            <w:shd w:val="clear" w:color="auto" w:fill="auto"/>
            <w:vAlign w:val="center"/>
          </w:tcPr>
          <w:p w14:paraId="253E5E21">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区公安交巡警支队、区城市管理局、区城投集团</w:t>
            </w:r>
          </w:p>
        </w:tc>
        <w:tc>
          <w:tcPr>
            <w:tcW w:w="1833" w:type="dxa"/>
            <w:tcBorders>
              <w:top w:val="nil"/>
              <w:left w:val="nil"/>
              <w:bottom w:val="single" w:color="auto" w:sz="4" w:space="0"/>
              <w:right w:val="single" w:color="auto" w:sz="4" w:space="0"/>
            </w:tcBorders>
            <w:shd w:val="clear" w:color="auto" w:fill="auto"/>
            <w:vAlign w:val="center"/>
          </w:tcPr>
          <w:p w14:paraId="7E6D90D0">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区委编办</w:t>
            </w:r>
          </w:p>
        </w:tc>
        <w:tc>
          <w:tcPr>
            <w:tcW w:w="1696" w:type="dxa"/>
            <w:tcBorders>
              <w:top w:val="nil"/>
              <w:left w:val="nil"/>
              <w:bottom w:val="single" w:color="auto" w:sz="4" w:space="0"/>
              <w:right w:val="single" w:color="auto" w:sz="4" w:space="0"/>
            </w:tcBorders>
            <w:shd w:val="clear" w:color="auto" w:fill="auto"/>
            <w:vAlign w:val="center"/>
          </w:tcPr>
          <w:p w14:paraId="2A281086">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2022</w:t>
            </w:r>
            <w:r>
              <w:rPr>
                <w:rFonts w:hint="eastAsia" w:ascii="Times New Roman" w:hAnsi="方正仿宋_GBK" w:eastAsia="方正仿宋_GBK" w:cs="方正仿宋_GBK"/>
                <w:kern w:val="0"/>
                <w:sz w:val="24"/>
                <w:szCs w:val="20"/>
                <w:lang w:val="en-US" w:eastAsia="zh-CN" w:bidi="ar"/>
              </w:rPr>
              <w:t>年</w:t>
            </w:r>
            <w:r>
              <w:rPr>
                <w:rFonts w:hint="default" w:ascii="Times New Roman" w:hAnsi="Times New Roman" w:eastAsia="方正仿宋_GBK" w:cs="Times New Roman"/>
                <w:kern w:val="0"/>
                <w:sz w:val="24"/>
                <w:szCs w:val="20"/>
                <w:lang w:val="en-US" w:eastAsia="zh-CN" w:bidi="ar"/>
              </w:rPr>
              <w:t>8</w:t>
            </w:r>
            <w:r>
              <w:rPr>
                <w:rFonts w:hint="eastAsia" w:ascii="Times New Roman" w:hAnsi="方正仿宋_GBK" w:eastAsia="方正仿宋_GBK" w:cs="方正仿宋_GBK"/>
                <w:kern w:val="0"/>
                <w:sz w:val="24"/>
                <w:szCs w:val="20"/>
                <w:lang w:val="en-US" w:eastAsia="zh-CN" w:bidi="ar"/>
              </w:rPr>
              <w:t>月</w:t>
            </w:r>
            <w:r>
              <w:rPr>
                <w:rFonts w:hint="default" w:ascii="Times New Roman" w:hAnsi="Times New Roman" w:eastAsia="方正仿宋_GBK" w:cs="Times New Roman"/>
                <w:kern w:val="0"/>
                <w:sz w:val="24"/>
                <w:szCs w:val="20"/>
                <w:lang w:val="en-US" w:eastAsia="zh-CN" w:bidi="ar"/>
              </w:rPr>
              <w:t>31</w:t>
            </w:r>
            <w:r>
              <w:rPr>
                <w:rFonts w:hint="eastAsia" w:ascii="Times New Roman" w:hAnsi="方正仿宋_GBK" w:eastAsia="方正仿宋_GBK" w:cs="方正仿宋_GBK"/>
                <w:kern w:val="0"/>
                <w:sz w:val="24"/>
                <w:szCs w:val="20"/>
                <w:lang w:val="en-US" w:eastAsia="zh-CN" w:bidi="ar"/>
              </w:rPr>
              <w:t>日前</w:t>
            </w:r>
          </w:p>
        </w:tc>
      </w:tr>
      <w:tr w14:paraId="2792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526" w:type="dxa"/>
            <w:tcBorders>
              <w:top w:val="single" w:color="auto" w:sz="4" w:space="0"/>
              <w:left w:val="single" w:color="auto" w:sz="4" w:space="0"/>
              <w:bottom w:val="single" w:color="auto" w:sz="4" w:space="0"/>
              <w:right w:val="single" w:color="auto" w:sz="4" w:space="0"/>
            </w:tcBorders>
            <w:shd w:val="clear" w:color="auto" w:fill="auto"/>
            <w:vAlign w:val="center"/>
          </w:tcPr>
          <w:p w14:paraId="19D007DA">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12</w:t>
            </w: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2B1F86">
            <w:pPr>
              <w:keepNext w:val="0"/>
              <w:keepLines w:val="0"/>
              <w:pageBreakBefore w:val="0"/>
              <w:suppressLineNumbers w:val="0"/>
              <w:kinsoku/>
              <w:wordWrap/>
              <w:overflowPunct/>
              <w:topLinePunct w:val="0"/>
              <w:bidi w:val="0"/>
              <w:spacing w:before="0" w:beforeAutospacing="0" w:after="0" w:afterAutospacing="0" w:line="600" w:lineRule="exact"/>
              <w:ind w:left="0" w:right="0"/>
              <w:textAlignment w:val="auto"/>
              <w:rPr>
                <w:rFonts w:hint="default" w:ascii="Calibri" w:hAnsi="Calibri" w:eastAsia="宋体" w:cs="Times New Roman"/>
                <w:kern w:val="2"/>
                <w:sz w:val="21"/>
                <w:szCs w:val="22"/>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B0E722">
            <w:pPr>
              <w:keepNext w:val="0"/>
              <w:keepLines w:val="0"/>
              <w:pageBreakBefore w:val="0"/>
              <w:suppressLineNumbers w:val="0"/>
              <w:kinsoku/>
              <w:wordWrap/>
              <w:overflowPunct/>
              <w:topLinePunct w:val="0"/>
              <w:bidi w:val="0"/>
              <w:spacing w:before="0" w:beforeAutospacing="0" w:after="0" w:afterAutospacing="0" w:line="600" w:lineRule="exact"/>
              <w:ind w:left="0" w:right="0"/>
              <w:textAlignment w:val="auto"/>
              <w:rPr>
                <w:rFonts w:hint="default" w:ascii="Calibri" w:hAnsi="Calibri" w:eastAsia="宋体" w:cs="Times New Roman"/>
                <w:kern w:val="2"/>
                <w:sz w:val="21"/>
                <w:szCs w:val="22"/>
              </w:rPr>
            </w:pPr>
          </w:p>
        </w:tc>
        <w:tc>
          <w:tcPr>
            <w:tcW w:w="6554" w:type="dxa"/>
            <w:tcBorders>
              <w:top w:val="single" w:color="auto" w:sz="4" w:space="0"/>
              <w:left w:val="nil"/>
              <w:bottom w:val="single" w:color="auto" w:sz="4" w:space="0"/>
              <w:right w:val="single" w:color="auto" w:sz="4" w:space="0"/>
            </w:tcBorders>
            <w:shd w:val="clear" w:color="auto" w:fill="auto"/>
            <w:vAlign w:val="center"/>
          </w:tcPr>
          <w:p w14:paraId="4219296C">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依据道路交通拥堵情况，对城区主次干道、背街小巷、小区进出通道设立停车严管区、示范路，常态化开展停车管理专项整治行动，严肃查处违章停车、损坏停车设施、长期违法占用停车资源、私自设置地锁、乱收停车费等违法行为。开展夜间延伸执法（延长到</w:t>
            </w:r>
            <w:bookmarkStart w:id="0" w:name="_GoBack"/>
            <w:bookmarkEnd w:id="0"/>
            <w:r>
              <w:rPr>
                <w:rFonts w:hint="default" w:ascii="Times New Roman" w:hAnsi="Times New Roman" w:eastAsia="方正仿宋_GBK" w:cs="Times New Roman"/>
                <w:kern w:val="0"/>
                <w:sz w:val="24"/>
                <w:szCs w:val="20"/>
                <w:lang w:val="en-US" w:eastAsia="zh-CN" w:bidi="ar"/>
              </w:rPr>
              <w:t>22:30</w:t>
            </w:r>
            <w:r>
              <w:rPr>
                <w:rFonts w:hint="eastAsia" w:ascii="Times New Roman" w:hAnsi="方正仿宋_GBK" w:eastAsia="方正仿宋_GBK" w:cs="方正仿宋_GBK"/>
                <w:kern w:val="0"/>
                <w:sz w:val="24"/>
                <w:szCs w:val="20"/>
                <w:lang w:val="en-US" w:eastAsia="zh-CN" w:bidi="ar"/>
              </w:rPr>
              <w:t>）、背街小巷延伸执法，切实规范动静态交通秩序。</w:t>
            </w:r>
          </w:p>
        </w:tc>
        <w:tc>
          <w:tcPr>
            <w:tcW w:w="1788" w:type="dxa"/>
            <w:tcBorders>
              <w:top w:val="nil"/>
              <w:left w:val="nil"/>
              <w:bottom w:val="single" w:color="auto" w:sz="4" w:space="0"/>
              <w:right w:val="single" w:color="auto" w:sz="4" w:space="0"/>
            </w:tcBorders>
            <w:shd w:val="clear" w:color="auto" w:fill="auto"/>
            <w:vAlign w:val="center"/>
          </w:tcPr>
          <w:p w14:paraId="362481B2">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区公安交巡警支队</w:t>
            </w:r>
          </w:p>
        </w:tc>
        <w:tc>
          <w:tcPr>
            <w:tcW w:w="1833" w:type="dxa"/>
            <w:tcBorders>
              <w:top w:val="nil"/>
              <w:left w:val="nil"/>
              <w:bottom w:val="single" w:color="auto" w:sz="4" w:space="0"/>
              <w:right w:val="single" w:color="auto" w:sz="4" w:space="0"/>
            </w:tcBorders>
            <w:shd w:val="clear" w:color="auto" w:fill="auto"/>
            <w:vAlign w:val="center"/>
          </w:tcPr>
          <w:p w14:paraId="75428387">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区城市管理局</w:t>
            </w:r>
          </w:p>
        </w:tc>
        <w:tc>
          <w:tcPr>
            <w:tcW w:w="1696" w:type="dxa"/>
            <w:tcBorders>
              <w:top w:val="nil"/>
              <w:left w:val="nil"/>
              <w:bottom w:val="single" w:color="auto" w:sz="4" w:space="0"/>
              <w:right w:val="single" w:color="auto" w:sz="4" w:space="0"/>
            </w:tcBorders>
            <w:shd w:val="clear" w:color="auto" w:fill="auto"/>
            <w:vAlign w:val="center"/>
          </w:tcPr>
          <w:p w14:paraId="64B7F08E">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常态化开展</w:t>
            </w:r>
          </w:p>
        </w:tc>
      </w:tr>
      <w:tr w14:paraId="53183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526" w:type="dxa"/>
            <w:tcBorders>
              <w:top w:val="single" w:color="auto" w:sz="4" w:space="0"/>
              <w:left w:val="single" w:color="auto" w:sz="4" w:space="0"/>
              <w:bottom w:val="single" w:color="auto" w:sz="4" w:space="0"/>
              <w:right w:val="single" w:color="auto" w:sz="4" w:space="0"/>
            </w:tcBorders>
            <w:shd w:val="clear" w:color="auto" w:fill="auto"/>
            <w:vAlign w:val="center"/>
          </w:tcPr>
          <w:p w14:paraId="37953ED5">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13</w:t>
            </w: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64508E">
            <w:pPr>
              <w:keepNext w:val="0"/>
              <w:keepLines w:val="0"/>
              <w:pageBreakBefore w:val="0"/>
              <w:suppressLineNumbers w:val="0"/>
              <w:kinsoku/>
              <w:wordWrap/>
              <w:overflowPunct/>
              <w:topLinePunct w:val="0"/>
              <w:bidi w:val="0"/>
              <w:spacing w:before="0" w:beforeAutospacing="0" w:after="0" w:afterAutospacing="0" w:line="600" w:lineRule="exact"/>
              <w:ind w:left="0" w:right="0"/>
              <w:textAlignment w:val="auto"/>
              <w:rPr>
                <w:rFonts w:hint="default" w:ascii="Calibri" w:hAnsi="Calibri" w:eastAsia="宋体" w:cs="Times New Roman"/>
                <w:kern w:val="2"/>
                <w:sz w:val="21"/>
                <w:szCs w:val="22"/>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1F75DA9B">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b/>
                <w:bCs/>
                <w:kern w:val="0"/>
                <w:sz w:val="24"/>
                <w:szCs w:val="20"/>
                <w:lang w:val="en-US"/>
              </w:rPr>
            </w:pPr>
            <w:r>
              <w:rPr>
                <w:rFonts w:hint="default" w:ascii="Times New Roman" w:hAnsi="Times New Roman" w:eastAsia="方正仿宋_GBK" w:cs="Times New Roman"/>
                <w:b/>
                <w:bCs/>
                <w:kern w:val="0"/>
                <w:sz w:val="24"/>
                <w:szCs w:val="20"/>
                <w:lang w:val="en-US" w:eastAsia="zh-CN" w:bidi="ar"/>
              </w:rPr>
              <w:t>8.</w:t>
            </w:r>
            <w:r>
              <w:rPr>
                <w:rFonts w:hint="eastAsia" w:ascii="Times New Roman" w:hAnsi="方正仿宋_GBK" w:eastAsia="方正仿宋_GBK" w:cs="方正仿宋_GBK"/>
                <w:b/>
                <w:bCs/>
                <w:kern w:val="0"/>
                <w:sz w:val="24"/>
                <w:szCs w:val="20"/>
                <w:lang w:val="en-US" w:eastAsia="zh-CN" w:bidi="ar"/>
              </w:rPr>
              <w:t>清理整治挪为他用车库</w:t>
            </w:r>
          </w:p>
        </w:tc>
        <w:tc>
          <w:tcPr>
            <w:tcW w:w="6554" w:type="dxa"/>
            <w:tcBorders>
              <w:top w:val="single" w:color="auto" w:sz="4" w:space="0"/>
              <w:left w:val="nil"/>
              <w:bottom w:val="single" w:color="auto" w:sz="4" w:space="0"/>
              <w:right w:val="single" w:color="auto" w:sz="4" w:space="0"/>
            </w:tcBorders>
            <w:shd w:val="clear" w:color="auto" w:fill="auto"/>
            <w:vAlign w:val="center"/>
          </w:tcPr>
          <w:p w14:paraId="501598FB">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对新建、改建、扩建公共建筑、居住小区的停车设施配建数量及出入口设计进行清理整治。全面整治擅自停止使用停车设施或改变停车设施用途等违规行为，恢复停车场功能。其中，体育馆地下停车场由区文化旅游委负责于</w:t>
            </w:r>
            <w:r>
              <w:rPr>
                <w:rFonts w:hint="default" w:ascii="Times New Roman" w:hAnsi="Times New Roman" w:eastAsia="方正仿宋_GBK" w:cs="Times New Roman"/>
                <w:kern w:val="0"/>
                <w:sz w:val="24"/>
                <w:szCs w:val="20"/>
                <w:lang w:val="en-US" w:eastAsia="zh-CN" w:bidi="ar"/>
              </w:rPr>
              <w:t>2022</w:t>
            </w:r>
            <w:r>
              <w:rPr>
                <w:rFonts w:hint="eastAsia" w:ascii="Times New Roman" w:hAnsi="方正仿宋_GBK" w:eastAsia="方正仿宋_GBK" w:cs="方正仿宋_GBK"/>
                <w:kern w:val="0"/>
                <w:sz w:val="24"/>
                <w:szCs w:val="20"/>
                <w:lang w:val="en-US" w:eastAsia="zh-CN" w:bidi="ar"/>
              </w:rPr>
              <w:t>年底前完成，白鹤大厦停车场负</w:t>
            </w:r>
            <w:r>
              <w:rPr>
                <w:rFonts w:hint="default" w:ascii="Times New Roman" w:hAnsi="Times New Roman" w:eastAsia="方正仿宋_GBK" w:cs="Times New Roman"/>
                <w:kern w:val="0"/>
                <w:sz w:val="24"/>
                <w:szCs w:val="20"/>
                <w:lang w:val="en-US" w:eastAsia="zh-CN" w:bidi="ar"/>
              </w:rPr>
              <w:t>3</w:t>
            </w:r>
            <w:r>
              <w:rPr>
                <w:rFonts w:hint="eastAsia" w:ascii="Times New Roman" w:hAnsi="方正仿宋_GBK" w:eastAsia="方正仿宋_GBK" w:cs="方正仿宋_GBK"/>
                <w:kern w:val="0"/>
                <w:sz w:val="24"/>
                <w:szCs w:val="20"/>
                <w:lang w:val="en-US" w:eastAsia="zh-CN" w:bidi="ar"/>
              </w:rPr>
              <w:t>楼由区商务委负责督促风之彩超市于</w:t>
            </w:r>
            <w:r>
              <w:rPr>
                <w:rFonts w:hint="default" w:ascii="Times New Roman" w:hAnsi="Times New Roman" w:eastAsia="方正仿宋_GBK" w:cs="Times New Roman"/>
                <w:kern w:val="0"/>
                <w:sz w:val="24"/>
                <w:szCs w:val="20"/>
                <w:lang w:val="en-US" w:eastAsia="zh-CN" w:bidi="ar"/>
              </w:rPr>
              <w:t>2023</w:t>
            </w:r>
            <w:r>
              <w:rPr>
                <w:rFonts w:hint="eastAsia" w:ascii="Times New Roman" w:hAnsi="方正仿宋_GBK" w:eastAsia="方正仿宋_GBK" w:cs="方正仿宋_GBK"/>
                <w:kern w:val="0"/>
                <w:sz w:val="24"/>
                <w:szCs w:val="20"/>
                <w:lang w:val="en-US" w:eastAsia="zh-CN" w:bidi="ar"/>
              </w:rPr>
              <w:t>年底前完成，动步游园地下停车场由区城投集团（禹光公司）负责于</w:t>
            </w:r>
            <w:r>
              <w:rPr>
                <w:rFonts w:hint="default" w:ascii="Times New Roman" w:hAnsi="Times New Roman" w:eastAsia="方正仿宋_GBK" w:cs="Times New Roman"/>
                <w:kern w:val="0"/>
                <w:sz w:val="24"/>
                <w:szCs w:val="20"/>
                <w:lang w:val="en-US" w:eastAsia="zh-CN" w:bidi="ar"/>
              </w:rPr>
              <w:t>2023</w:t>
            </w:r>
            <w:r>
              <w:rPr>
                <w:rFonts w:hint="eastAsia" w:ascii="Times New Roman" w:hAnsi="方正仿宋_GBK" w:eastAsia="方正仿宋_GBK" w:cs="方正仿宋_GBK"/>
                <w:kern w:val="0"/>
                <w:sz w:val="24"/>
                <w:szCs w:val="20"/>
                <w:lang w:val="en-US" w:eastAsia="zh-CN" w:bidi="ar"/>
              </w:rPr>
              <w:t>年底前完成。</w:t>
            </w:r>
            <w:r>
              <w:rPr>
                <w:rFonts w:hint="default" w:ascii="Times New Roman" w:hAnsi="Times New Roman" w:eastAsia="方正仿宋_GBK" w:cs="Times New Roman"/>
                <w:kern w:val="0"/>
                <w:sz w:val="24"/>
                <w:szCs w:val="20"/>
                <w:lang w:val="en-US" w:eastAsia="zh-CN" w:bidi="ar"/>
              </w:rPr>
              <w:t xml:space="preserve"> </w:t>
            </w:r>
          </w:p>
        </w:tc>
        <w:tc>
          <w:tcPr>
            <w:tcW w:w="1788" w:type="dxa"/>
            <w:tcBorders>
              <w:top w:val="nil"/>
              <w:left w:val="nil"/>
              <w:bottom w:val="single" w:color="auto" w:sz="4" w:space="0"/>
              <w:right w:val="single" w:color="auto" w:sz="4" w:space="0"/>
            </w:tcBorders>
            <w:shd w:val="clear" w:color="auto" w:fill="auto"/>
            <w:vAlign w:val="center"/>
          </w:tcPr>
          <w:p w14:paraId="3F9D83A5">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区城投集团（禹光公司）、区文化旅游委、区商务委</w:t>
            </w:r>
          </w:p>
        </w:tc>
        <w:tc>
          <w:tcPr>
            <w:tcW w:w="1833" w:type="dxa"/>
            <w:tcBorders>
              <w:top w:val="nil"/>
              <w:left w:val="nil"/>
              <w:bottom w:val="single" w:color="auto" w:sz="4" w:space="0"/>
              <w:right w:val="single" w:color="auto" w:sz="4" w:space="0"/>
            </w:tcBorders>
            <w:shd w:val="clear" w:color="auto" w:fill="auto"/>
            <w:vAlign w:val="center"/>
          </w:tcPr>
          <w:p w14:paraId="0AD439CF">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区规划自然资源局、区住房城乡建委、区城市管理局、各街道办事处</w:t>
            </w:r>
          </w:p>
        </w:tc>
        <w:tc>
          <w:tcPr>
            <w:tcW w:w="1696" w:type="dxa"/>
            <w:tcBorders>
              <w:top w:val="nil"/>
              <w:left w:val="nil"/>
              <w:bottom w:val="single" w:color="auto" w:sz="4" w:space="0"/>
              <w:right w:val="single" w:color="auto" w:sz="4" w:space="0"/>
            </w:tcBorders>
            <w:shd w:val="clear" w:color="auto" w:fill="auto"/>
            <w:vAlign w:val="center"/>
          </w:tcPr>
          <w:p w14:paraId="41F99F77">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2023</w:t>
            </w:r>
            <w:r>
              <w:rPr>
                <w:rFonts w:hint="eastAsia" w:ascii="Times New Roman" w:hAnsi="方正仿宋_GBK" w:eastAsia="方正仿宋_GBK" w:cs="方正仿宋_GBK"/>
                <w:kern w:val="0"/>
                <w:sz w:val="24"/>
                <w:szCs w:val="20"/>
                <w:lang w:val="en-US" w:eastAsia="zh-CN" w:bidi="ar"/>
              </w:rPr>
              <w:t>年底前</w:t>
            </w:r>
          </w:p>
        </w:tc>
      </w:tr>
      <w:tr w14:paraId="09C21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526" w:type="dxa"/>
            <w:tcBorders>
              <w:top w:val="single" w:color="auto" w:sz="4" w:space="0"/>
              <w:left w:val="single" w:color="auto" w:sz="4" w:space="0"/>
              <w:bottom w:val="single" w:color="auto" w:sz="4" w:space="0"/>
              <w:right w:val="single" w:color="auto" w:sz="4" w:space="0"/>
            </w:tcBorders>
            <w:shd w:val="clear" w:color="auto" w:fill="auto"/>
            <w:vAlign w:val="center"/>
          </w:tcPr>
          <w:p w14:paraId="6A21EBE1">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14</w:t>
            </w:r>
          </w:p>
        </w:tc>
        <w:tc>
          <w:tcPr>
            <w:tcW w:w="936" w:type="dxa"/>
            <w:vMerge w:val="restart"/>
            <w:tcBorders>
              <w:top w:val="single" w:color="auto" w:sz="4" w:space="0"/>
              <w:left w:val="nil"/>
              <w:bottom w:val="single" w:color="auto" w:sz="4" w:space="0"/>
              <w:right w:val="single" w:color="auto" w:sz="4" w:space="0"/>
            </w:tcBorders>
            <w:shd w:val="clear" w:color="auto" w:fill="auto"/>
            <w:vAlign w:val="center"/>
          </w:tcPr>
          <w:p w14:paraId="299513EC">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jc w:val="center"/>
              <w:textAlignment w:val="auto"/>
              <w:rPr>
                <w:rFonts w:eastAsia="方正楷体_GBK"/>
                <w:kern w:val="0"/>
                <w:sz w:val="24"/>
                <w:szCs w:val="20"/>
                <w:lang w:val="en-US"/>
              </w:rPr>
            </w:pPr>
            <w:r>
              <w:rPr>
                <w:rFonts w:hint="eastAsia" w:ascii="Times New Roman" w:hAnsi="方正楷体_GBK" w:eastAsia="方正楷体_GBK" w:cs="方正楷体_GBK"/>
                <w:kern w:val="0"/>
                <w:sz w:val="24"/>
                <w:szCs w:val="20"/>
                <w:lang w:val="en-US" w:eastAsia="zh-CN" w:bidi="ar"/>
              </w:rPr>
              <w:t>　</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2976274D">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b/>
                <w:bCs/>
                <w:kern w:val="0"/>
                <w:sz w:val="24"/>
                <w:szCs w:val="20"/>
                <w:lang w:val="en-US"/>
              </w:rPr>
            </w:pPr>
            <w:r>
              <w:rPr>
                <w:rFonts w:hint="default" w:ascii="Times New Roman" w:hAnsi="Times New Roman" w:eastAsia="方正仿宋_GBK" w:cs="Times New Roman"/>
                <w:b/>
                <w:bCs/>
                <w:kern w:val="0"/>
                <w:sz w:val="24"/>
                <w:szCs w:val="20"/>
                <w:lang w:val="en-US" w:eastAsia="zh-CN" w:bidi="ar"/>
              </w:rPr>
              <w:t>9.</w:t>
            </w:r>
            <w:r>
              <w:rPr>
                <w:rFonts w:hint="eastAsia" w:ascii="Times New Roman" w:hAnsi="方正仿宋_GBK" w:eastAsia="方正仿宋_GBK" w:cs="方正仿宋_GBK"/>
                <w:b/>
                <w:bCs/>
                <w:kern w:val="0"/>
                <w:sz w:val="24"/>
                <w:szCs w:val="20"/>
                <w:lang w:val="en-US" w:eastAsia="zh-CN" w:bidi="ar"/>
              </w:rPr>
              <w:t>论证建设立体式停车场</w:t>
            </w:r>
          </w:p>
        </w:tc>
        <w:tc>
          <w:tcPr>
            <w:tcW w:w="6554" w:type="dxa"/>
            <w:tcBorders>
              <w:top w:val="single" w:color="auto" w:sz="4" w:space="0"/>
              <w:left w:val="nil"/>
              <w:bottom w:val="single" w:color="auto" w:sz="4" w:space="0"/>
              <w:right w:val="single" w:color="auto" w:sz="4" w:space="0"/>
            </w:tcBorders>
            <w:shd w:val="clear" w:color="auto" w:fill="auto"/>
            <w:vAlign w:val="center"/>
          </w:tcPr>
          <w:p w14:paraId="59B7B4AD">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现场选址论证利用老城区边角空闲地、机关单位空置办公区域等建设机械式立体停车场的可行性，对具备建设条件的，纳入年度建设计划。</w:t>
            </w:r>
          </w:p>
        </w:tc>
        <w:tc>
          <w:tcPr>
            <w:tcW w:w="1788" w:type="dxa"/>
            <w:tcBorders>
              <w:top w:val="nil"/>
              <w:left w:val="nil"/>
              <w:bottom w:val="single" w:color="auto" w:sz="4" w:space="0"/>
              <w:right w:val="single" w:color="auto" w:sz="4" w:space="0"/>
            </w:tcBorders>
            <w:shd w:val="clear" w:color="auto" w:fill="auto"/>
            <w:vAlign w:val="center"/>
          </w:tcPr>
          <w:p w14:paraId="0E9C4D5E">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区规划自然资源局、区住房城乡建委、区城市管理局</w:t>
            </w:r>
          </w:p>
        </w:tc>
        <w:tc>
          <w:tcPr>
            <w:tcW w:w="1833" w:type="dxa"/>
            <w:tcBorders>
              <w:top w:val="nil"/>
              <w:left w:val="nil"/>
              <w:bottom w:val="single" w:color="auto" w:sz="4" w:space="0"/>
              <w:right w:val="single" w:color="auto" w:sz="4" w:space="0"/>
            </w:tcBorders>
            <w:shd w:val="clear" w:color="auto" w:fill="auto"/>
            <w:vAlign w:val="center"/>
          </w:tcPr>
          <w:p w14:paraId="1D89F11B">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区财政局、各街道办事处、区城投集团</w:t>
            </w:r>
          </w:p>
        </w:tc>
        <w:tc>
          <w:tcPr>
            <w:tcW w:w="1696" w:type="dxa"/>
            <w:tcBorders>
              <w:top w:val="nil"/>
              <w:left w:val="nil"/>
              <w:bottom w:val="single" w:color="auto" w:sz="4" w:space="0"/>
              <w:right w:val="single" w:color="auto" w:sz="4" w:space="0"/>
            </w:tcBorders>
            <w:shd w:val="clear" w:color="auto" w:fill="auto"/>
            <w:vAlign w:val="center"/>
          </w:tcPr>
          <w:p w14:paraId="3038E967">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近期：</w:t>
            </w:r>
            <w:r>
              <w:rPr>
                <w:rFonts w:hint="default" w:ascii="Times New Roman" w:hAnsi="Times New Roman" w:eastAsia="方正仿宋_GBK" w:cs="Times New Roman"/>
                <w:kern w:val="0"/>
                <w:sz w:val="24"/>
                <w:szCs w:val="20"/>
                <w:lang w:val="en-US" w:eastAsia="zh-CN" w:bidi="ar"/>
              </w:rPr>
              <w:t>2022</w:t>
            </w:r>
            <w:r>
              <w:rPr>
                <w:rFonts w:hint="eastAsia" w:ascii="Times New Roman" w:hAnsi="方正仿宋_GBK" w:eastAsia="方正仿宋_GBK" w:cs="方正仿宋_GBK"/>
                <w:kern w:val="0"/>
                <w:sz w:val="24"/>
                <w:szCs w:val="20"/>
                <w:lang w:val="en-US" w:eastAsia="zh-CN" w:bidi="ar"/>
              </w:rPr>
              <w:t>年</w:t>
            </w:r>
            <w:r>
              <w:rPr>
                <w:rFonts w:hint="default" w:ascii="Times New Roman" w:hAnsi="Times New Roman" w:eastAsia="方正仿宋_GBK" w:cs="Times New Roman"/>
                <w:kern w:val="0"/>
                <w:sz w:val="24"/>
                <w:szCs w:val="20"/>
                <w:lang w:val="en-US" w:eastAsia="zh-CN" w:bidi="ar"/>
              </w:rPr>
              <w:t>12</w:t>
            </w:r>
            <w:r>
              <w:rPr>
                <w:rFonts w:hint="eastAsia" w:ascii="Times New Roman" w:hAnsi="方正仿宋_GBK" w:eastAsia="方正仿宋_GBK" w:cs="方正仿宋_GBK"/>
                <w:kern w:val="0"/>
                <w:sz w:val="24"/>
                <w:szCs w:val="20"/>
                <w:lang w:val="en-US" w:eastAsia="zh-CN" w:bidi="ar"/>
              </w:rPr>
              <w:t>月</w:t>
            </w:r>
            <w:r>
              <w:rPr>
                <w:rFonts w:hint="default" w:ascii="Times New Roman" w:hAnsi="Times New Roman" w:eastAsia="方正仿宋_GBK" w:cs="Times New Roman"/>
                <w:kern w:val="0"/>
                <w:sz w:val="24"/>
                <w:szCs w:val="20"/>
                <w:lang w:val="en-US" w:eastAsia="zh-CN" w:bidi="ar"/>
              </w:rPr>
              <w:t>31</w:t>
            </w:r>
            <w:r>
              <w:rPr>
                <w:rFonts w:hint="eastAsia" w:ascii="Times New Roman" w:hAnsi="方正仿宋_GBK" w:eastAsia="方正仿宋_GBK" w:cs="方正仿宋_GBK"/>
                <w:kern w:val="0"/>
                <w:sz w:val="24"/>
                <w:szCs w:val="20"/>
                <w:lang w:val="en-US" w:eastAsia="zh-CN" w:bidi="ar"/>
              </w:rPr>
              <w:t>日前；远期：</w:t>
            </w:r>
            <w:r>
              <w:rPr>
                <w:rFonts w:hint="default" w:ascii="Times New Roman" w:hAnsi="Times New Roman" w:eastAsia="方正仿宋_GBK" w:cs="Times New Roman"/>
                <w:kern w:val="0"/>
                <w:sz w:val="24"/>
                <w:szCs w:val="20"/>
                <w:lang w:val="en-US" w:eastAsia="zh-CN" w:bidi="ar"/>
              </w:rPr>
              <w:t>2025</w:t>
            </w:r>
            <w:r>
              <w:rPr>
                <w:rFonts w:hint="eastAsia" w:ascii="Times New Roman" w:hAnsi="方正仿宋_GBK" w:eastAsia="方正仿宋_GBK" w:cs="方正仿宋_GBK"/>
                <w:kern w:val="0"/>
                <w:sz w:val="24"/>
                <w:szCs w:val="20"/>
                <w:lang w:val="en-US" w:eastAsia="zh-CN" w:bidi="ar"/>
              </w:rPr>
              <w:t>年底前</w:t>
            </w:r>
          </w:p>
        </w:tc>
      </w:tr>
      <w:tr w14:paraId="2BB0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526" w:type="dxa"/>
            <w:tcBorders>
              <w:top w:val="nil"/>
              <w:left w:val="single" w:color="auto" w:sz="4" w:space="0"/>
              <w:bottom w:val="single" w:color="auto" w:sz="4" w:space="0"/>
              <w:right w:val="single" w:color="auto" w:sz="4" w:space="0"/>
            </w:tcBorders>
            <w:shd w:val="clear" w:color="auto" w:fill="auto"/>
            <w:vAlign w:val="center"/>
          </w:tcPr>
          <w:p w14:paraId="5544C25F">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15</w:t>
            </w:r>
          </w:p>
        </w:tc>
        <w:tc>
          <w:tcPr>
            <w:tcW w:w="936" w:type="dxa"/>
            <w:vMerge w:val="continue"/>
            <w:tcBorders>
              <w:top w:val="single" w:color="auto" w:sz="4" w:space="0"/>
              <w:left w:val="nil"/>
              <w:bottom w:val="single" w:color="auto" w:sz="4" w:space="0"/>
              <w:right w:val="single" w:color="auto" w:sz="4" w:space="0"/>
            </w:tcBorders>
            <w:shd w:val="clear" w:color="auto" w:fill="auto"/>
            <w:vAlign w:val="center"/>
          </w:tcPr>
          <w:p w14:paraId="6908BC63">
            <w:pPr>
              <w:keepNext w:val="0"/>
              <w:keepLines w:val="0"/>
              <w:pageBreakBefore w:val="0"/>
              <w:suppressLineNumbers w:val="0"/>
              <w:kinsoku/>
              <w:wordWrap/>
              <w:overflowPunct/>
              <w:topLinePunct w:val="0"/>
              <w:bidi w:val="0"/>
              <w:spacing w:before="0" w:beforeAutospacing="0" w:after="0" w:afterAutospacing="0" w:line="600" w:lineRule="exact"/>
              <w:ind w:left="0" w:right="0"/>
              <w:textAlignment w:val="auto"/>
              <w:rPr>
                <w:rFonts w:hint="default" w:ascii="Calibri" w:hAnsi="Calibri" w:eastAsia="宋体" w:cs="Times New Roman"/>
                <w:kern w:val="2"/>
                <w:sz w:val="21"/>
                <w:szCs w:val="22"/>
              </w:rPr>
            </w:pPr>
          </w:p>
        </w:tc>
        <w:tc>
          <w:tcPr>
            <w:tcW w:w="11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3C5729">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b/>
                <w:bCs/>
                <w:kern w:val="0"/>
                <w:sz w:val="24"/>
                <w:szCs w:val="20"/>
                <w:lang w:val="en-US"/>
              </w:rPr>
            </w:pPr>
            <w:r>
              <w:rPr>
                <w:rFonts w:hint="default" w:ascii="Times New Roman" w:hAnsi="Times New Roman" w:eastAsia="方正仿宋_GBK" w:cs="Times New Roman"/>
                <w:b/>
                <w:bCs/>
                <w:kern w:val="0"/>
                <w:sz w:val="24"/>
                <w:szCs w:val="20"/>
                <w:lang w:val="en-US" w:eastAsia="zh-CN" w:bidi="ar"/>
              </w:rPr>
              <w:t>10.</w:t>
            </w:r>
            <w:r>
              <w:rPr>
                <w:rFonts w:hint="eastAsia" w:ascii="Times New Roman" w:hAnsi="方正仿宋_GBK" w:eastAsia="方正仿宋_GBK" w:cs="方正仿宋_GBK"/>
                <w:b/>
                <w:bCs/>
                <w:kern w:val="0"/>
                <w:sz w:val="24"/>
                <w:szCs w:val="20"/>
                <w:lang w:val="en-US" w:eastAsia="zh-CN" w:bidi="ar"/>
              </w:rPr>
              <w:t>合理布局货运停车设施</w:t>
            </w:r>
          </w:p>
        </w:tc>
        <w:tc>
          <w:tcPr>
            <w:tcW w:w="6554" w:type="dxa"/>
            <w:tcBorders>
              <w:top w:val="nil"/>
              <w:left w:val="nil"/>
              <w:bottom w:val="single" w:color="auto" w:sz="4" w:space="0"/>
              <w:right w:val="single" w:color="auto" w:sz="4" w:space="0"/>
            </w:tcBorders>
            <w:shd w:val="clear" w:color="auto" w:fill="auto"/>
            <w:vAlign w:val="center"/>
          </w:tcPr>
          <w:p w14:paraId="0E9D8C06">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编制完善城区货运停车场专项规划。</w:t>
            </w:r>
          </w:p>
        </w:tc>
        <w:tc>
          <w:tcPr>
            <w:tcW w:w="1788" w:type="dxa"/>
            <w:tcBorders>
              <w:top w:val="nil"/>
              <w:left w:val="nil"/>
              <w:bottom w:val="single" w:color="auto" w:sz="4" w:space="0"/>
              <w:right w:val="single" w:color="auto" w:sz="4" w:space="0"/>
            </w:tcBorders>
            <w:shd w:val="clear" w:color="auto" w:fill="auto"/>
            <w:vAlign w:val="center"/>
          </w:tcPr>
          <w:p w14:paraId="2E8A6684">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区住房城乡建委</w:t>
            </w:r>
          </w:p>
        </w:tc>
        <w:tc>
          <w:tcPr>
            <w:tcW w:w="1833" w:type="dxa"/>
            <w:tcBorders>
              <w:top w:val="nil"/>
              <w:left w:val="nil"/>
              <w:bottom w:val="single" w:color="auto" w:sz="4" w:space="0"/>
              <w:right w:val="single" w:color="auto" w:sz="4" w:space="0"/>
            </w:tcBorders>
            <w:shd w:val="clear" w:color="auto" w:fill="auto"/>
            <w:vAlign w:val="center"/>
          </w:tcPr>
          <w:p w14:paraId="18E5F896">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区规划自然资源局</w:t>
            </w:r>
          </w:p>
        </w:tc>
        <w:tc>
          <w:tcPr>
            <w:tcW w:w="1696" w:type="dxa"/>
            <w:tcBorders>
              <w:top w:val="nil"/>
              <w:left w:val="nil"/>
              <w:bottom w:val="single" w:color="auto" w:sz="4" w:space="0"/>
              <w:right w:val="single" w:color="auto" w:sz="4" w:space="0"/>
            </w:tcBorders>
            <w:shd w:val="clear" w:color="auto" w:fill="auto"/>
            <w:vAlign w:val="center"/>
          </w:tcPr>
          <w:p w14:paraId="318E2462">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2022</w:t>
            </w:r>
            <w:r>
              <w:rPr>
                <w:rFonts w:hint="eastAsia" w:ascii="Times New Roman" w:hAnsi="方正仿宋_GBK" w:eastAsia="方正仿宋_GBK" w:cs="方正仿宋_GBK"/>
                <w:kern w:val="0"/>
                <w:sz w:val="24"/>
                <w:szCs w:val="20"/>
                <w:lang w:val="en-US" w:eastAsia="zh-CN" w:bidi="ar"/>
              </w:rPr>
              <w:t>年</w:t>
            </w:r>
            <w:r>
              <w:rPr>
                <w:rFonts w:hint="default" w:ascii="Times New Roman" w:hAnsi="Times New Roman" w:eastAsia="方正仿宋_GBK" w:cs="Times New Roman"/>
                <w:kern w:val="0"/>
                <w:sz w:val="24"/>
                <w:szCs w:val="20"/>
                <w:lang w:val="en-US" w:eastAsia="zh-CN" w:bidi="ar"/>
              </w:rPr>
              <w:t>12</w:t>
            </w:r>
            <w:r>
              <w:rPr>
                <w:rFonts w:hint="eastAsia" w:ascii="Times New Roman" w:hAnsi="方正仿宋_GBK" w:eastAsia="方正仿宋_GBK" w:cs="方正仿宋_GBK"/>
                <w:kern w:val="0"/>
                <w:sz w:val="24"/>
                <w:szCs w:val="20"/>
                <w:lang w:val="en-US" w:eastAsia="zh-CN" w:bidi="ar"/>
              </w:rPr>
              <w:t>月</w:t>
            </w:r>
            <w:r>
              <w:rPr>
                <w:rFonts w:hint="default" w:ascii="Times New Roman" w:hAnsi="Times New Roman" w:eastAsia="方正仿宋_GBK" w:cs="Times New Roman"/>
                <w:kern w:val="0"/>
                <w:sz w:val="24"/>
                <w:szCs w:val="20"/>
                <w:lang w:val="en-US" w:eastAsia="zh-CN" w:bidi="ar"/>
              </w:rPr>
              <w:t>31</w:t>
            </w:r>
            <w:r>
              <w:rPr>
                <w:rFonts w:hint="eastAsia" w:ascii="Times New Roman" w:hAnsi="方正仿宋_GBK" w:eastAsia="方正仿宋_GBK" w:cs="方正仿宋_GBK"/>
                <w:kern w:val="0"/>
                <w:sz w:val="24"/>
                <w:szCs w:val="20"/>
                <w:lang w:val="en-US" w:eastAsia="zh-CN" w:bidi="ar"/>
              </w:rPr>
              <w:t>日前</w:t>
            </w:r>
          </w:p>
        </w:tc>
      </w:tr>
      <w:tr w14:paraId="1339B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526" w:type="dxa"/>
            <w:tcBorders>
              <w:top w:val="nil"/>
              <w:left w:val="single" w:color="auto" w:sz="4" w:space="0"/>
              <w:bottom w:val="single" w:color="auto" w:sz="4" w:space="0"/>
              <w:right w:val="single" w:color="auto" w:sz="4" w:space="0"/>
            </w:tcBorders>
            <w:shd w:val="clear" w:color="auto" w:fill="auto"/>
            <w:vAlign w:val="center"/>
          </w:tcPr>
          <w:p w14:paraId="28498D1D">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16</w:t>
            </w:r>
          </w:p>
        </w:tc>
        <w:tc>
          <w:tcPr>
            <w:tcW w:w="936" w:type="dxa"/>
            <w:vMerge w:val="continue"/>
            <w:tcBorders>
              <w:top w:val="single" w:color="auto" w:sz="4" w:space="0"/>
              <w:left w:val="nil"/>
              <w:bottom w:val="single" w:color="auto" w:sz="4" w:space="0"/>
              <w:right w:val="single" w:color="auto" w:sz="4" w:space="0"/>
            </w:tcBorders>
            <w:shd w:val="clear" w:color="auto" w:fill="auto"/>
            <w:vAlign w:val="center"/>
          </w:tcPr>
          <w:p w14:paraId="48332057">
            <w:pPr>
              <w:keepNext w:val="0"/>
              <w:keepLines w:val="0"/>
              <w:pageBreakBefore w:val="0"/>
              <w:suppressLineNumbers w:val="0"/>
              <w:kinsoku/>
              <w:wordWrap/>
              <w:overflowPunct/>
              <w:topLinePunct w:val="0"/>
              <w:bidi w:val="0"/>
              <w:spacing w:before="0" w:beforeAutospacing="0" w:after="0" w:afterAutospacing="0" w:line="600" w:lineRule="exact"/>
              <w:ind w:left="0" w:right="0"/>
              <w:textAlignment w:val="auto"/>
              <w:rPr>
                <w:rFonts w:hint="default" w:ascii="Calibri" w:hAnsi="Calibri" w:eastAsia="宋体" w:cs="Times New Roman"/>
                <w:kern w:val="2"/>
                <w:sz w:val="21"/>
                <w:szCs w:val="22"/>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529D74">
            <w:pPr>
              <w:keepNext w:val="0"/>
              <w:keepLines w:val="0"/>
              <w:pageBreakBefore w:val="0"/>
              <w:suppressLineNumbers w:val="0"/>
              <w:kinsoku/>
              <w:wordWrap/>
              <w:overflowPunct/>
              <w:topLinePunct w:val="0"/>
              <w:bidi w:val="0"/>
              <w:spacing w:before="0" w:beforeAutospacing="0" w:after="0" w:afterAutospacing="0" w:line="600" w:lineRule="exact"/>
              <w:ind w:left="0" w:right="0"/>
              <w:textAlignment w:val="auto"/>
              <w:rPr>
                <w:rFonts w:hint="default" w:ascii="Calibri" w:hAnsi="Calibri" w:eastAsia="宋体" w:cs="Times New Roman"/>
                <w:kern w:val="2"/>
                <w:sz w:val="21"/>
                <w:szCs w:val="22"/>
              </w:rPr>
            </w:pPr>
          </w:p>
        </w:tc>
        <w:tc>
          <w:tcPr>
            <w:tcW w:w="6554" w:type="dxa"/>
            <w:tcBorders>
              <w:top w:val="nil"/>
              <w:left w:val="nil"/>
              <w:bottom w:val="single" w:color="auto" w:sz="4" w:space="0"/>
              <w:right w:val="single" w:color="auto" w:sz="4" w:space="0"/>
            </w:tcBorders>
            <w:shd w:val="clear" w:color="auto" w:fill="auto"/>
            <w:vAlign w:val="center"/>
          </w:tcPr>
          <w:p w14:paraId="642B7110">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工业园区龙岩组团，近期将爱溪火电厂拆迁地块改造为临时货运停车场，中期利用高铁沿线高架桥下部空间、毗邻防护绿地建设货运停车场。</w:t>
            </w:r>
          </w:p>
        </w:tc>
        <w:tc>
          <w:tcPr>
            <w:tcW w:w="1788" w:type="dxa"/>
            <w:tcBorders>
              <w:top w:val="nil"/>
              <w:left w:val="nil"/>
              <w:bottom w:val="single" w:color="auto" w:sz="4" w:space="0"/>
              <w:right w:val="single" w:color="auto" w:sz="4" w:space="0"/>
            </w:tcBorders>
            <w:shd w:val="clear" w:color="auto" w:fill="auto"/>
            <w:vAlign w:val="center"/>
          </w:tcPr>
          <w:p w14:paraId="1CD9B1D5">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工业园区管委会、园业集团</w:t>
            </w:r>
          </w:p>
        </w:tc>
        <w:tc>
          <w:tcPr>
            <w:tcW w:w="1833" w:type="dxa"/>
            <w:tcBorders>
              <w:top w:val="nil"/>
              <w:left w:val="nil"/>
              <w:bottom w:val="single" w:color="auto" w:sz="4" w:space="0"/>
              <w:right w:val="single" w:color="auto" w:sz="4" w:space="0"/>
            </w:tcBorders>
            <w:shd w:val="clear" w:color="auto" w:fill="auto"/>
            <w:vAlign w:val="center"/>
          </w:tcPr>
          <w:p w14:paraId="17C6CF0B">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区公安交巡警支队、区城市管理局</w:t>
            </w:r>
          </w:p>
        </w:tc>
        <w:tc>
          <w:tcPr>
            <w:tcW w:w="1696" w:type="dxa"/>
            <w:tcBorders>
              <w:top w:val="nil"/>
              <w:left w:val="nil"/>
              <w:bottom w:val="single" w:color="auto" w:sz="4" w:space="0"/>
              <w:right w:val="single" w:color="auto" w:sz="4" w:space="0"/>
            </w:tcBorders>
            <w:shd w:val="clear" w:color="auto" w:fill="auto"/>
            <w:vAlign w:val="center"/>
          </w:tcPr>
          <w:p w14:paraId="0C17F452">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近期：</w:t>
            </w:r>
            <w:r>
              <w:rPr>
                <w:rFonts w:hint="default" w:ascii="Times New Roman" w:hAnsi="Times New Roman" w:eastAsia="方正仿宋_GBK" w:cs="Times New Roman"/>
                <w:kern w:val="0"/>
                <w:sz w:val="24"/>
                <w:szCs w:val="20"/>
                <w:lang w:val="en-US" w:eastAsia="zh-CN" w:bidi="ar"/>
              </w:rPr>
              <w:t>2022</w:t>
            </w:r>
            <w:r>
              <w:rPr>
                <w:rFonts w:hint="eastAsia" w:ascii="Times New Roman" w:hAnsi="方正仿宋_GBK" w:eastAsia="方正仿宋_GBK" w:cs="方正仿宋_GBK"/>
                <w:kern w:val="0"/>
                <w:sz w:val="24"/>
                <w:szCs w:val="20"/>
                <w:lang w:val="en-US" w:eastAsia="zh-CN" w:bidi="ar"/>
              </w:rPr>
              <w:t>年</w:t>
            </w:r>
            <w:r>
              <w:rPr>
                <w:rFonts w:hint="default" w:ascii="Times New Roman" w:hAnsi="Times New Roman" w:eastAsia="方正仿宋_GBK" w:cs="Times New Roman"/>
                <w:kern w:val="0"/>
                <w:sz w:val="24"/>
                <w:szCs w:val="20"/>
                <w:lang w:val="en-US" w:eastAsia="zh-CN" w:bidi="ar"/>
              </w:rPr>
              <w:t>9</w:t>
            </w:r>
            <w:r>
              <w:rPr>
                <w:rFonts w:hint="eastAsia" w:ascii="Times New Roman" w:hAnsi="方正仿宋_GBK" w:eastAsia="方正仿宋_GBK" w:cs="方正仿宋_GBK"/>
                <w:kern w:val="0"/>
                <w:sz w:val="24"/>
                <w:szCs w:val="20"/>
                <w:lang w:val="en-US" w:eastAsia="zh-CN" w:bidi="ar"/>
              </w:rPr>
              <w:t>月</w:t>
            </w:r>
            <w:r>
              <w:rPr>
                <w:rFonts w:hint="default" w:ascii="Times New Roman" w:hAnsi="Times New Roman" w:eastAsia="方正仿宋_GBK" w:cs="Times New Roman"/>
                <w:kern w:val="0"/>
                <w:sz w:val="24"/>
                <w:szCs w:val="20"/>
                <w:lang w:val="en-US" w:eastAsia="zh-CN" w:bidi="ar"/>
              </w:rPr>
              <w:t>30</w:t>
            </w:r>
            <w:r>
              <w:rPr>
                <w:rFonts w:hint="eastAsia" w:ascii="Times New Roman" w:hAnsi="方正仿宋_GBK" w:eastAsia="方正仿宋_GBK" w:cs="方正仿宋_GBK"/>
                <w:kern w:val="0"/>
                <w:sz w:val="24"/>
                <w:szCs w:val="20"/>
                <w:lang w:val="en-US" w:eastAsia="zh-CN" w:bidi="ar"/>
              </w:rPr>
              <w:t>日前；中期：</w:t>
            </w:r>
            <w:r>
              <w:rPr>
                <w:rFonts w:hint="default" w:ascii="Times New Roman" w:hAnsi="Times New Roman" w:eastAsia="方正仿宋_GBK" w:cs="Times New Roman"/>
                <w:kern w:val="0"/>
                <w:sz w:val="24"/>
                <w:szCs w:val="20"/>
                <w:lang w:val="en-US" w:eastAsia="zh-CN" w:bidi="ar"/>
              </w:rPr>
              <w:t>2027</w:t>
            </w:r>
            <w:r>
              <w:rPr>
                <w:rFonts w:hint="eastAsia" w:ascii="Times New Roman" w:hAnsi="方正仿宋_GBK" w:eastAsia="方正仿宋_GBK" w:cs="方正仿宋_GBK"/>
                <w:kern w:val="0"/>
                <w:sz w:val="24"/>
                <w:szCs w:val="20"/>
                <w:lang w:val="en-US" w:eastAsia="zh-CN" w:bidi="ar"/>
              </w:rPr>
              <w:t>年底前</w:t>
            </w:r>
          </w:p>
        </w:tc>
      </w:tr>
      <w:tr w14:paraId="12199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jc w:val="center"/>
        </w:trPr>
        <w:tc>
          <w:tcPr>
            <w:tcW w:w="526" w:type="dxa"/>
            <w:tcBorders>
              <w:top w:val="nil"/>
              <w:left w:val="single" w:color="auto" w:sz="4" w:space="0"/>
              <w:bottom w:val="single" w:color="auto" w:sz="4" w:space="0"/>
              <w:right w:val="single" w:color="auto" w:sz="4" w:space="0"/>
            </w:tcBorders>
            <w:shd w:val="clear" w:color="auto" w:fill="auto"/>
            <w:vAlign w:val="center"/>
          </w:tcPr>
          <w:p w14:paraId="3D052B2F">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17</w:t>
            </w:r>
          </w:p>
        </w:tc>
        <w:tc>
          <w:tcPr>
            <w:tcW w:w="936" w:type="dxa"/>
            <w:vMerge w:val="continue"/>
            <w:tcBorders>
              <w:top w:val="single" w:color="auto" w:sz="4" w:space="0"/>
              <w:left w:val="nil"/>
              <w:bottom w:val="single" w:color="auto" w:sz="4" w:space="0"/>
              <w:right w:val="single" w:color="auto" w:sz="4" w:space="0"/>
            </w:tcBorders>
            <w:shd w:val="clear" w:color="auto" w:fill="auto"/>
            <w:vAlign w:val="center"/>
          </w:tcPr>
          <w:p w14:paraId="1297C254">
            <w:pPr>
              <w:keepNext w:val="0"/>
              <w:keepLines w:val="0"/>
              <w:pageBreakBefore w:val="0"/>
              <w:suppressLineNumbers w:val="0"/>
              <w:kinsoku/>
              <w:wordWrap/>
              <w:overflowPunct/>
              <w:topLinePunct w:val="0"/>
              <w:bidi w:val="0"/>
              <w:spacing w:before="0" w:beforeAutospacing="0" w:after="0" w:afterAutospacing="0" w:line="600" w:lineRule="exact"/>
              <w:ind w:left="0" w:right="0"/>
              <w:textAlignment w:val="auto"/>
              <w:rPr>
                <w:rFonts w:hint="default" w:ascii="Calibri" w:hAnsi="Calibri" w:eastAsia="宋体" w:cs="Times New Roman"/>
                <w:kern w:val="2"/>
                <w:sz w:val="21"/>
                <w:szCs w:val="22"/>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C3952D">
            <w:pPr>
              <w:keepNext w:val="0"/>
              <w:keepLines w:val="0"/>
              <w:pageBreakBefore w:val="0"/>
              <w:suppressLineNumbers w:val="0"/>
              <w:kinsoku/>
              <w:wordWrap/>
              <w:overflowPunct/>
              <w:topLinePunct w:val="0"/>
              <w:bidi w:val="0"/>
              <w:spacing w:before="0" w:beforeAutospacing="0" w:after="0" w:afterAutospacing="0" w:line="600" w:lineRule="exact"/>
              <w:ind w:left="0" w:right="0"/>
              <w:textAlignment w:val="auto"/>
              <w:rPr>
                <w:rFonts w:hint="default" w:ascii="Calibri" w:hAnsi="Calibri" w:eastAsia="宋体" w:cs="Times New Roman"/>
                <w:kern w:val="2"/>
                <w:sz w:val="21"/>
                <w:szCs w:val="22"/>
              </w:rPr>
            </w:pPr>
          </w:p>
        </w:tc>
        <w:tc>
          <w:tcPr>
            <w:tcW w:w="6554" w:type="dxa"/>
            <w:tcBorders>
              <w:top w:val="nil"/>
              <w:left w:val="nil"/>
              <w:bottom w:val="single" w:color="auto" w:sz="4" w:space="0"/>
              <w:right w:val="single" w:color="auto" w:sz="4" w:space="0"/>
            </w:tcBorders>
            <w:shd w:val="clear" w:color="auto" w:fill="auto"/>
            <w:vAlign w:val="center"/>
          </w:tcPr>
          <w:p w14:paraId="2A520BDD">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商贸物流园区，近期利用高速公路、普铁沿线毗邻防护绿地建设货运停车场，中期在商贸物流园区内、绕城货运通道沿线布局货运停车场。</w:t>
            </w:r>
          </w:p>
        </w:tc>
        <w:tc>
          <w:tcPr>
            <w:tcW w:w="1788" w:type="dxa"/>
            <w:tcBorders>
              <w:top w:val="nil"/>
              <w:left w:val="nil"/>
              <w:bottom w:val="single" w:color="auto" w:sz="4" w:space="0"/>
              <w:right w:val="single" w:color="auto" w:sz="4" w:space="0"/>
            </w:tcBorders>
            <w:shd w:val="clear" w:color="auto" w:fill="auto"/>
            <w:vAlign w:val="center"/>
          </w:tcPr>
          <w:p w14:paraId="390839B8">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商贸物流园区管委会、区昌达公司</w:t>
            </w:r>
          </w:p>
        </w:tc>
        <w:tc>
          <w:tcPr>
            <w:tcW w:w="1833" w:type="dxa"/>
            <w:tcBorders>
              <w:top w:val="nil"/>
              <w:left w:val="nil"/>
              <w:bottom w:val="single" w:color="auto" w:sz="4" w:space="0"/>
              <w:right w:val="single" w:color="auto" w:sz="4" w:space="0"/>
            </w:tcBorders>
            <w:shd w:val="clear" w:color="auto" w:fill="auto"/>
            <w:vAlign w:val="center"/>
          </w:tcPr>
          <w:p w14:paraId="53DC6516">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区公安交巡警支队、区城市管理局</w:t>
            </w:r>
          </w:p>
        </w:tc>
        <w:tc>
          <w:tcPr>
            <w:tcW w:w="1696" w:type="dxa"/>
            <w:tcBorders>
              <w:top w:val="nil"/>
              <w:left w:val="nil"/>
              <w:bottom w:val="single" w:color="auto" w:sz="4" w:space="0"/>
              <w:right w:val="single" w:color="auto" w:sz="4" w:space="0"/>
            </w:tcBorders>
            <w:shd w:val="clear" w:color="auto" w:fill="auto"/>
            <w:vAlign w:val="center"/>
          </w:tcPr>
          <w:p w14:paraId="4D74BBD8">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近期：</w:t>
            </w:r>
            <w:r>
              <w:rPr>
                <w:rFonts w:hint="default" w:ascii="Times New Roman" w:hAnsi="Times New Roman" w:eastAsia="方正仿宋_GBK" w:cs="Times New Roman"/>
                <w:kern w:val="0"/>
                <w:sz w:val="24"/>
                <w:szCs w:val="20"/>
                <w:lang w:val="en-US" w:eastAsia="zh-CN" w:bidi="ar"/>
              </w:rPr>
              <w:t>2022</w:t>
            </w:r>
            <w:r>
              <w:rPr>
                <w:rFonts w:hint="eastAsia" w:ascii="Times New Roman" w:hAnsi="方正仿宋_GBK" w:eastAsia="方正仿宋_GBK" w:cs="方正仿宋_GBK"/>
                <w:kern w:val="0"/>
                <w:sz w:val="24"/>
                <w:szCs w:val="20"/>
                <w:lang w:val="en-US" w:eastAsia="zh-CN" w:bidi="ar"/>
              </w:rPr>
              <w:t>年底前；中期：</w:t>
            </w:r>
            <w:r>
              <w:rPr>
                <w:rFonts w:hint="default" w:ascii="Times New Roman" w:hAnsi="Times New Roman" w:eastAsia="方正仿宋_GBK" w:cs="Times New Roman"/>
                <w:kern w:val="0"/>
                <w:sz w:val="24"/>
                <w:szCs w:val="20"/>
                <w:lang w:val="en-US" w:eastAsia="zh-CN" w:bidi="ar"/>
              </w:rPr>
              <w:t>2027</w:t>
            </w:r>
            <w:r>
              <w:rPr>
                <w:rFonts w:hint="eastAsia" w:ascii="Times New Roman" w:hAnsi="方正仿宋_GBK" w:eastAsia="方正仿宋_GBK" w:cs="方正仿宋_GBK"/>
                <w:kern w:val="0"/>
                <w:sz w:val="24"/>
                <w:szCs w:val="20"/>
                <w:lang w:val="en-US" w:eastAsia="zh-CN" w:bidi="ar"/>
              </w:rPr>
              <w:t>年底前</w:t>
            </w:r>
          </w:p>
        </w:tc>
      </w:tr>
      <w:tr w14:paraId="72303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526" w:type="dxa"/>
            <w:tcBorders>
              <w:top w:val="nil"/>
              <w:left w:val="single" w:color="auto" w:sz="4" w:space="0"/>
              <w:bottom w:val="single" w:color="auto" w:sz="4" w:space="0"/>
              <w:right w:val="single" w:color="auto" w:sz="4" w:space="0"/>
            </w:tcBorders>
            <w:shd w:val="clear" w:color="auto" w:fill="auto"/>
            <w:vAlign w:val="center"/>
          </w:tcPr>
          <w:p w14:paraId="087D79B7">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18</w:t>
            </w:r>
          </w:p>
        </w:tc>
        <w:tc>
          <w:tcPr>
            <w:tcW w:w="936" w:type="dxa"/>
            <w:vMerge w:val="continue"/>
            <w:tcBorders>
              <w:top w:val="single" w:color="auto" w:sz="4" w:space="0"/>
              <w:left w:val="nil"/>
              <w:bottom w:val="single" w:color="auto" w:sz="4" w:space="0"/>
              <w:right w:val="single" w:color="auto" w:sz="4" w:space="0"/>
            </w:tcBorders>
            <w:shd w:val="clear" w:color="auto" w:fill="auto"/>
            <w:vAlign w:val="center"/>
          </w:tcPr>
          <w:p w14:paraId="39710001">
            <w:pPr>
              <w:keepNext w:val="0"/>
              <w:keepLines w:val="0"/>
              <w:pageBreakBefore w:val="0"/>
              <w:suppressLineNumbers w:val="0"/>
              <w:kinsoku/>
              <w:wordWrap/>
              <w:overflowPunct/>
              <w:topLinePunct w:val="0"/>
              <w:bidi w:val="0"/>
              <w:spacing w:before="0" w:beforeAutospacing="0" w:after="0" w:afterAutospacing="0" w:line="600" w:lineRule="exact"/>
              <w:ind w:left="0" w:right="0"/>
              <w:textAlignment w:val="auto"/>
              <w:rPr>
                <w:rFonts w:hint="default" w:ascii="Calibri" w:hAnsi="Calibri" w:eastAsia="宋体" w:cs="Times New Roman"/>
                <w:kern w:val="2"/>
                <w:sz w:val="21"/>
                <w:szCs w:val="22"/>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A0247E">
            <w:pPr>
              <w:keepNext w:val="0"/>
              <w:keepLines w:val="0"/>
              <w:pageBreakBefore w:val="0"/>
              <w:suppressLineNumbers w:val="0"/>
              <w:kinsoku/>
              <w:wordWrap/>
              <w:overflowPunct/>
              <w:topLinePunct w:val="0"/>
              <w:bidi w:val="0"/>
              <w:spacing w:before="0" w:beforeAutospacing="0" w:after="0" w:afterAutospacing="0" w:line="600" w:lineRule="exact"/>
              <w:ind w:left="0" w:right="0"/>
              <w:textAlignment w:val="auto"/>
              <w:rPr>
                <w:rFonts w:hint="default" w:ascii="Calibri" w:hAnsi="Calibri" w:eastAsia="宋体" w:cs="Times New Roman"/>
                <w:kern w:val="2"/>
                <w:sz w:val="21"/>
                <w:szCs w:val="22"/>
              </w:rPr>
            </w:pPr>
          </w:p>
        </w:tc>
        <w:tc>
          <w:tcPr>
            <w:tcW w:w="6554" w:type="dxa"/>
            <w:tcBorders>
              <w:top w:val="nil"/>
              <w:left w:val="nil"/>
              <w:bottom w:val="single" w:color="auto" w:sz="4" w:space="0"/>
              <w:right w:val="single" w:color="auto" w:sz="4" w:space="0"/>
            </w:tcBorders>
            <w:shd w:val="clear" w:color="auto" w:fill="auto"/>
            <w:vAlign w:val="center"/>
          </w:tcPr>
          <w:p w14:paraId="173787B0">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文凤片区，由区城投集团负责在景城大道沿线福南桥周边建设</w:t>
            </w:r>
            <w:r>
              <w:rPr>
                <w:rFonts w:hint="default" w:ascii="Times New Roman" w:hAnsi="Times New Roman" w:eastAsia="方正仿宋_GBK" w:cs="Times New Roman"/>
                <w:kern w:val="0"/>
                <w:sz w:val="24"/>
                <w:szCs w:val="20"/>
                <w:lang w:val="en-US" w:eastAsia="zh-CN" w:bidi="ar"/>
              </w:rPr>
              <w:t>1</w:t>
            </w:r>
            <w:r>
              <w:rPr>
                <w:rFonts w:hint="eastAsia" w:ascii="Times New Roman" w:hAnsi="方正仿宋_GBK" w:eastAsia="方正仿宋_GBK" w:cs="方正仿宋_GBK"/>
                <w:kern w:val="0"/>
                <w:sz w:val="24"/>
                <w:szCs w:val="20"/>
                <w:lang w:val="en-US" w:eastAsia="zh-CN" w:bidi="ar"/>
              </w:rPr>
              <w:t>座货运停车场。</w:t>
            </w:r>
          </w:p>
        </w:tc>
        <w:tc>
          <w:tcPr>
            <w:tcW w:w="1788" w:type="dxa"/>
            <w:tcBorders>
              <w:top w:val="nil"/>
              <w:left w:val="nil"/>
              <w:bottom w:val="single" w:color="auto" w:sz="4" w:space="0"/>
              <w:right w:val="single" w:color="auto" w:sz="4" w:space="0"/>
            </w:tcBorders>
            <w:shd w:val="clear" w:color="auto" w:fill="auto"/>
            <w:vAlign w:val="center"/>
          </w:tcPr>
          <w:p w14:paraId="17D2E933">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区城投集团</w:t>
            </w:r>
          </w:p>
        </w:tc>
        <w:tc>
          <w:tcPr>
            <w:tcW w:w="1833" w:type="dxa"/>
            <w:tcBorders>
              <w:top w:val="nil"/>
              <w:left w:val="nil"/>
              <w:bottom w:val="single" w:color="auto" w:sz="4" w:space="0"/>
              <w:right w:val="single" w:color="auto" w:sz="4" w:space="0"/>
            </w:tcBorders>
            <w:shd w:val="clear" w:color="auto" w:fill="auto"/>
            <w:vAlign w:val="center"/>
          </w:tcPr>
          <w:p w14:paraId="7D4F3BA3">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区公安交巡警支队、区城市管理局</w:t>
            </w:r>
          </w:p>
        </w:tc>
        <w:tc>
          <w:tcPr>
            <w:tcW w:w="1696" w:type="dxa"/>
            <w:tcBorders>
              <w:top w:val="nil"/>
              <w:left w:val="nil"/>
              <w:bottom w:val="single" w:color="auto" w:sz="4" w:space="0"/>
              <w:right w:val="single" w:color="auto" w:sz="4" w:space="0"/>
            </w:tcBorders>
            <w:shd w:val="clear" w:color="auto" w:fill="auto"/>
            <w:vAlign w:val="center"/>
          </w:tcPr>
          <w:p w14:paraId="1E8F9C04">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2023</w:t>
            </w:r>
            <w:r>
              <w:rPr>
                <w:rFonts w:hint="eastAsia" w:ascii="Times New Roman" w:hAnsi="方正仿宋_GBK" w:eastAsia="方正仿宋_GBK" w:cs="方正仿宋_GBK"/>
                <w:kern w:val="0"/>
                <w:sz w:val="24"/>
                <w:szCs w:val="20"/>
                <w:lang w:val="en-US" w:eastAsia="zh-CN" w:bidi="ar"/>
              </w:rPr>
              <w:t>年底前</w:t>
            </w:r>
          </w:p>
        </w:tc>
      </w:tr>
      <w:tr w14:paraId="260A8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atLeast"/>
          <w:jc w:val="center"/>
        </w:trPr>
        <w:tc>
          <w:tcPr>
            <w:tcW w:w="526" w:type="dxa"/>
            <w:tcBorders>
              <w:top w:val="nil"/>
              <w:left w:val="single" w:color="auto" w:sz="4" w:space="0"/>
              <w:bottom w:val="single" w:color="auto" w:sz="4" w:space="0"/>
              <w:right w:val="single" w:color="auto" w:sz="4" w:space="0"/>
            </w:tcBorders>
            <w:shd w:val="clear" w:color="auto" w:fill="auto"/>
            <w:vAlign w:val="center"/>
          </w:tcPr>
          <w:p w14:paraId="448B2CEE">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default" w:ascii="Times New Roman" w:hAnsi="Times New Roman" w:eastAsia="方正仿宋_GBK" w:cs="Times New Roman"/>
                <w:kern w:val="0"/>
                <w:sz w:val="24"/>
                <w:szCs w:val="20"/>
                <w:lang w:val="en-US" w:eastAsia="zh-CN" w:bidi="ar"/>
              </w:rPr>
              <w:t>19</w:t>
            </w:r>
          </w:p>
        </w:tc>
        <w:tc>
          <w:tcPr>
            <w:tcW w:w="936" w:type="dxa"/>
            <w:vMerge w:val="continue"/>
            <w:tcBorders>
              <w:top w:val="single" w:color="auto" w:sz="4" w:space="0"/>
              <w:left w:val="nil"/>
              <w:bottom w:val="single" w:color="auto" w:sz="4" w:space="0"/>
              <w:right w:val="single" w:color="auto" w:sz="4" w:space="0"/>
            </w:tcBorders>
            <w:shd w:val="clear" w:color="auto" w:fill="auto"/>
            <w:vAlign w:val="center"/>
          </w:tcPr>
          <w:p w14:paraId="713FEA25">
            <w:pPr>
              <w:keepNext w:val="0"/>
              <w:keepLines w:val="0"/>
              <w:pageBreakBefore w:val="0"/>
              <w:suppressLineNumbers w:val="0"/>
              <w:kinsoku/>
              <w:wordWrap/>
              <w:overflowPunct/>
              <w:topLinePunct w:val="0"/>
              <w:bidi w:val="0"/>
              <w:spacing w:before="0" w:beforeAutospacing="0" w:after="0" w:afterAutospacing="0" w:line="600" w:lineRule="exact"/>
              <w:ind w:left="0" w:right="0"/>
              <w:textAlignment w:val="auto"/>
              <w:rPr>
                <w:rFonts w:hint="default" w:ascii="Calibri" w:hAnsi="Calibri" w:eastAsia="宋体" w:cs="Times New Roman"/>
                <w:kern w:val="2"/>
                <w:sz w:val="21"/>
                <w:szCs w:val="22"/>
              </w:rPr>
            </w:pPr>
          </w:p>
        </w:tc>
        <w:tc>
          <w:tcPr>
            <w:tcW w:w="1145" w:type="dxa"/>
            <w:tcBorders>
              <w:top w:val="nil"/>
              <w:left w:val="single" w:color="auto" w:sz="4" w:space="0"/>
              <w:bottom w:val="single" w:color="auto" w:sz="4" w:space="0"/>
              <w:right w:val="single" w:color="auto" w:sz="4" w:space="0"/>
            </w:tcBorders>
            <w:shd w:val="clear" w:color="auto" w:fill="auto"/>
            <w:vAlign w:val="center"/>
          </w:tcPr>
          <w:p w14:paraId="4986BD24">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b/>
                <w:bCs/>
                <w:kern w:val="0"/>
                <w:sz w:val="24"/>
                <w:szCs w:val="20"/>
                <w:lang w:val="en-US"/>
              </w:rPr>
            </w:pPr>
            <w:r>
              <w:rPr>
                <w:rFonts w:hint="default" w:ascii="Times New Roman" w:hAnsi="Times New Roman" w:eastAsia="方正仿宋_GBK" w:cs="Times New Roman"/>
                <w:b/>
                <w:bCs/>
                <w:kern w:val="0"/>
                <w:sz w:val="24"/>
                <w:szCs w:val="20"/>
                <w:lang w:val="en-US" w:eastAsia="zh-CN" w:bidi="ar"/>
              </w:rPr>
              <w:t>11.</w:t>
            </w:r>
            <w:r>
              <w:rPr>
                <w:rFonts w:hint="eastAsia" w:ascii="Times New Roman" w:hAnsi="方正仿宋_GBK" w:eastAsia="方正仿宋_GBK" w:cs="方正仿宋_GBK"/>
                <w:b/>
                <w:bCs/>
                <w:kern w:val="0"/>
                <w:sz w:val="24"/>
                <w:szCs w:val="20"/>
                <w:lang w:val="en-US" w:eastAsia="zh-CN" w:bidi="ar"/>
              </w:rPr>
              <w:t>大力实施公交优先战略</w:t>
            </w:r>
          </w:p>
        </w:tc>
        <w:tc>
          <w:tcPr>
            <w:tcW w:w="6554" w:type="dxa"/>
            <w:tcBorders>
              <w:top w:val="nil"/>
              <w:left w:val="nil"/>
              <w:bottom w:val="single" w:color="auto" w:sz="4" w:space="0"/>
              <w:right w:val="single" w:color="auto" w:sz="4" w:space="0"/>
            </w:tcBorders>
            <w:shd w:val="clear" w:color="auto" w:fill="auto"/>
            <w:vAlign w:val="center"/>
          </w:tcPr>
          <w:p w14:paraId="78CE9A7F">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both"/>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近期，加快推进城区公交线路的优化设置，完善公交站台、站点、站牌、智能管理系统等配套设施建设，提升公共交通覆盖率、承载力和吸引力。中期，有序推进公交枢纽站（高铁站、客运西站、客运中心站），首末站（东金华、永隆山、龙济），停车场建设，逐步完善公共交通系统。</w:t>
            </w:r>
          </w:p>
        </w:tc>
        <w:tc>
          <w:tcPr>
            <w:tcW w:w="1788" w:type="dxa"/>
            <w:tcBorders>
              <w:top w:val="nil"/>
              <w:left w:val="nil"/>
              <w:bottom w:val="single" w:color="auto" w:sz="4" w:space="0"/>
              <w:right w:val="single" w:color="auto" w:sz="4" w:space="0"/>
            </w:tcBorders>
            <w:shd w:val="clear" w:color="auto" w:fill="auto"/>
            <w:vAlign w:val="center"/>
          </w:tcPr>
          <w:p w14:paraId="0FC21221">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区交通局</w:t>
            </w:r>
          </w:p>
        </w:tc>
        <w:tc>
          <w:tcPr>
            <w:tcW w:w="1833" w:type="dxa"/>
            <w:tcBorders>
              <w:top w:val="nil"/>
              <w:left w:val="nil"/>
              <w:bottom w:val="single" w:color="auto" w:sz="4" w:space="0"/>
              <w:right w:val="single" w:color="auto" w:sz="4" w:space="0"/>
            </w:tcBorders>
            <w:shd w:val="clear" w:color="auto" w:fill="auto"/>
            <w:vAlign w:val="center"/>
          </w:tcPr>
          <w:p w14:paraId="430B0A22">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区城市管理局、区公安交巡警支队</w:t>
            </w:r>
          </w:p>
        </w:tc>
        <w:tc>
          <w:tcPr>
            <w:tcW w:w="1696" w:type="dxa"/>
            <w:tcBorders>
              <w:top w:val="nil"/>
              <w:left w:val="nil"/>
              <w:bottom w:val="single" w:color="auto" w:sz="4" w:space="0"/>
              <w:right w:val="single" w:color="auto" w:sz="4" w:space="0"/>
            </w:tcBorders>
            <w:shd w:val="clear" w:color="auto" w:fill="auto"/>
            <w:vAlign w:val="center"/>
          </w:tcPr>
          <w:p w14:paraId="178E7648">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center"/>
              <w:textAlignment w:val="auto"/>
              <w:rPr>
                <w:kern w:val="0"/>
                <w:sz w:val="24"/>
                <w:szCs w:val="20"/>
                <w:lang w:val="en-US"/>
              </w:rPr>
            </w:pPr>
            <w:r>
              <w:rPr>
                <w:rFonts w:hint="eastAsia" w:ascii="Times New Roman" w:hAnsi="方正仿宋_GBK" w:eastAsia="方正仿宋_GBK" w:cs="方正仿宋_GBK"/>
                <w:kern w:val="0"/>
                <w:sz w:val="24"/>
                <w:szCs w:val="20"/>
                <w:lang w:val="en-US" w:eastAsia="zh-CN" w:bidi="ar"/>
              </w:rPr>
              <w:t>近期：</w:t>
            </w:r>
            <w:r>
              <w:rPr>
                <w:rFonts w:hint="default" w:ascii="Times New Roman" w:hAnsi="Times New Roman" w:eastAsia="方正仿宋_GBK" w:cs="Times New Roman"/>
                <w:kern w:val="0"/>
                <w:sz w:val="24"/>
                <w:szCs w:val="20"/>
                <w:lang w:val="en-US" w:eastAsia="zh-CN" w:bidi="ar"/>
              </w:rPr>
              <w:t>2022</w:t>
            </w:r>
            <w:r>
              <w:rPr>
                <w:rFonts w:hint="eastAsia" w:ascii="Times New Roman" w:hAnsi="方正仿宋_GBK" w:eastAsia="方正仿宋_GBK" w:cs="方正仿宋_GBK"/>
                <w:kern w:val="0"/>
                <w:sz w:val="24"/>
                <w:szCs w:val="20"/>
                <w:lang w:val="en-US" w:eastAsia="zh-CN" w:bidi="ar"/>
              </w:rPr>
              <w:t>年</w:t>
            </w:r>
            <w:r>
              <w:rPr>
                <w:rFonts w:hint="default" w:ascii="Times New Roman" w:hAnsi="Times New Roman" w:eastAsia="方正仿宋_GBK" w:cs="Times New Roman"/>
                <w:kern w:val="0"/>
                <w:sz w:val="24"/>
                <w:szCs w:val="20"/>
                <w:lang w:val="en-US" w:eastAsia="zh-CN" w:bidi="ar"/>
              </w:rPr>
              <w:t>12</w:t>
            </w:r>
            <w:r>
              <w:rPr>
                <w:rFonts w:hint="eastAsia" w:ascii="Times New Roman" w:hAnsi="方正仿宋_GBK" w:eastAsia="方正仿宋_GBK" w:cs="方正仿宋_GBK"/>
                <w:kern w:val="0"/>
                <w:sz w:val="24"/>
                <w:szCs w:val="20"/>
                <w:lang w:val="en-US" w:eastAsia="zh-CN" w:bidi="ar"/>
              </w:rPr>
              <w:t>月</w:t>
            </w:r>
            <w:r>
              <w:rPr>
                <w:rFonts w:hint="default" w:ascii="Times New Roman" w:hAnsi="Times New Roman" w:eastAsia="方正仿宋_GBK" w:cs="Times New Roman"/>
                <w:kern w:val="0"/>
                <w:sz w:val="24"/>
                <w:szCs w:val="20"/>
                <w:lang w:val="en-US" w:eastAsia="zh-CN" w:bidi="ar"/>
              </w:rPr>
              <w:t>31</w:t>
            </w:r>
            <w:r>
              <w:rPr>
                <w:rFonts w:hint="eastAsia" w:ascii="Times New Roman" w:hAnsi="方正仿宋_GBK" w:eastAsia="方正仿宋_GBK" w:cs="方正仿宋_GBK"/>
                <w:kern w:val="0"/>
                <w:sz w:val="24"/>
                <w:szCs w:val="20"/>
                <w:lang w:val="en-US" w:eastAsia="zh-CN" w:bidi="ar"/>
              </w:rPr>
              <w:t>日前；中期：</w:t>
            </w:r>
            <w:r>
              <w:rPr>
                <w:rFonts w:hint="default" w:ascii="Times New Roman" w:hAnsi="Times New Roman" w:eastAsia="方正仿宋_GBK" w:cs="Times New Roman"/>
                <w:kern w:val="0"/>
                <w:sz w:val="24"/>
                <w:szCs w:val="20"/>
                <w:lang w:val="en-US" w:eastAsia="zh-CN" w:bidi="ar"/>
              </w:rPr>
              <w:t>2025</w:t>
            </w:r>
            <w:r>
              <w:rPr>
                <w:rFonts w:hint="eastAsia" w:ascii="Times New Roman" w:hAnsi="方正仿宋_GBK" w:eastAsia="方正仿宋_GBK" w:cs="方正仿宋_GBK"/>
                <w:kern w:val="0"/>
                <w:sz w:val="24"/>
                <w:szCs w:val="20"/>
                <w:lang w:val="en-US" w:eastAsia="zh-CN" w:bidi="ar"/>
              </w:rPr>
              <w:t>年底前</w:t>
            </w:r>
          </w:p>
        </w:tc>
      </w:tr>
    </w:tbl>
    <w:p w14:paraId="387D9F49">
      <w:pPr>
        <w:keepNext w:val="0"/>
        <w:keepLines w:val="0"/>
        <w:pageBreakBefore w:val="0"/>
        <w:kinsoku/>
        <w:wordWrap/>
        <w:overflowPunct/>
        <w:topLinePunct w:val="0"/>
        <w:bidi w:val="0"/>
        <w:spacing w:line="600" w:lineRule="exact"/>
        <w:textAlignment w:val="auto"/>
        <w:rPr>
          <w:rFonts w:hint="eastAsia"/>
          <w:lang w:val="en-US" w:eastAsia="zh-CN"/>
        </w:rPr>
      </w:pPr>
    </w:p>
    <w:sectPr>
      <w:headerReference r:id="rId5" w:type="default"/>
      <w:footerReference r:id="rId6" w:type="default"/>
      <w:pgSz w:w="15840" w:h="12240" w:orient="landscape"/>
      <w:pgMar w:top="1800" w:right="1440" w:bottom="1800" w:left="1440" w:header="720" w:footer="720" w:gutter="0"/>
      <w:pgBorders w:offsetFrom="page">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03164">
    <w:pPr>
      <w:pStyle w:val="7"/>
      <w:ind w:left="4788" w:leftChars="2280" w:firstLine="6400" w:firstLineChars="2000"/>
      <w:rPr>
        <w:rFonts w:hint="eastAsia"/>
        <w:color w:val="FAFAFA"/>
        <w:sz w:val="32"/>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0211B">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30211B">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7CCB7EAC">
    <w:pPr>
      <w:pStyle w:val="7"/>
      <w:wordWrap w:val="0"/>
      <w:ind w:firstLine="3520" w:firstLineChars="1100"/>
      <w:jc w:val="both"/>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8255</wp:posOffset>
              </wp:positionV>
              <wp:extent cx="5495925" cy="5715"/>
              <wp:effectExtent l="0" t="10795" r="9525" b="12065"/>
              <wp:wrapNone/>
              <wp:docPr id="11" name="直接连接符 11"/>
              <wp:cNvGraphicFramePr/>
              <a:graphic xmlns:a="http://schemas.openxmlformats.org/drawingml/2006/main">
                <a:graphicData uri="http://schemas.microsoft.com/office/word/2010/wordprocessingShape">
                  <wps:wsp>
                    <wps:cNvCnPr/>
                    <wps:spPr>
                      <a:xfrm flipV="1">
                        <a:off x="0" y="0"/>
                        <a:ext cx="5495925" cy="571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35pt;margin-top:0.65pt;height:0.45pt;width:432.75pt;z-index:251660288;mso-width-relative:page;mso-height-relative:page;" filled="f" stroked="t" coordsize="21600,21600" o:gfxdata="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3slDdYAAAAFAQAADwAAAAAAAAABACAAAAAiAAAAZHJzL2Rvd25yZXYueG1sUEsBAhQAFAAA&#10;AAgAh07iQB22uBXxAQAAwQMAAA4AAAAAAAAAAQAgAAAAJQEAAGRycy9lMm9Eb2MueG1sUEsFBgAA&#10;AAAGAAYAWQEAAIg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p>
  <w:p w14:paraId="078E39E1">
    <w:pPr>
      <w:pStyle w:val="7"/>
      <w:wordWrap w:val="0"/>
      <w:ind w:firstLine="3092" w:firstLineChars="1100"/>
      <w:jc w:val="both"/>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w:t>
    </w:r>
    <w:r>
      <w:rPr>
        <w:rFonts w:hint="eastAsia" w:ascii="宋体" w:hAnsi="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南川区人民政府办公室发布    </w:t>
    </w:r>
  </w:p>
  <w:p w14:paraId="04B12445">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EFA4F">
    <w:pPr>
      <w:pStyle w:val="7"/>
      <w:ind w:left="4788" w:leftChars="2280" w:firstLine="6400" w:firstLineChars="2000"/>
      <w:rPr>
        <w:rFonts w:hint="eastAsia"/>
        <w:color w:val="FAFAFA"/>
        <w:sz w:val="32"/>
        <w:lang w:val="en-US" w:eastAsia="zh-CN"/>
      </w:rPr>
    </w:pP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E7B3D">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1BE7B3D">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28C77F92">
    <w:pPr>
      <w:pStyle w:val="7"/>
      <w:wordWrap w:val="0"/>
      <w:ind w:firstLine="3520" w:firstLineChars="1100"/>
      <w:jc w:val="both"/>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52705</wp:posOffset>
              </wp:positionV>
              <wp:extent cx="8229600" cy="31115"/>
              <wp:effectExtent l="0" t="10795" r="0" b="15240"/>
              <wp:wrapNone/>
              <wp:docPr id="7" name="直接连接符 7"/>
              <wp:cNvGraphicFramePr/>
              <a:graphic xmlns:a="http://schemas.openxmlformats.org/drawingml/2006/main">
                <a:graphicData uri="http://schemas.microsoft.com/office/word/2010/wordprocessingShape">
                  <wps:wsp>
                    <wps:cNvCnPr/>
                    <wps:spPr>
                      <a:xfrm>
                        <a:off x="0" y="0"/>
                        <a:ext cx="8229600" cy="3111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pt;margin-top:4.15pt;height:2.45pt;width:648pt;z-index:251662336;mso-width-relative:page;mso-height-relative:page;" filled="f" stroked="t" coordsize="21600,21600" o:gfxdata="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wJlRfV&#10;AAAACAEAAA8AAAAAAAAAAQAgAAAAIgAAAGRycy9kb3ducmV2LnhtbFBLAQIUABQAAAAIAIdO4kAC&#10;A+Z46gEAALYDAAAOAAAAAAAAAAEAIAAAACQBAABkcnMvZTJvRG9jLnhtbFBLBQYAAAAABgAGAFkB&#10;AACA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p>
  <w:p w14:paraId="53ADC712">
    <w:pPr>
      <w:pStyle w:val="7"/>
      <w:wordWrap w:val="0"/>
      <w:ind w:firstLine="3092" w:firstLineChars="1100"/>
      <w:jc w:val="both"/>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w:t>
    </w:r>
    <w:r>
      <w:rPr>
        <w:rFonts w:hint="eastAsia" w:ascii="宋体" w:hAnsi="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南川区人民政府办公室发布    </w:t>
    </w:r>
  </w:p>
  <w:p w14:paraId="1D9066DF">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8F8EF">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14:paraId="45B44251">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318770</wp:posOffset>
              </wp:positionV>
              <wp:extent cx="5505450" cy="9525"/>
              <wp:effectExtent l="0" t="0" r="0" b="0"/>
              <wp:wrapNone/>
              <wp:docPr id="9" name="直接连接符 9"/>
              <wp:cNvGraphicFramePr/>
              <a:graphic xmlns:a="http://schemas.openxmlformats.org/drawingml/2006/main">
                <a:graphicData uri="http://schemas.microsoft.com/office/word/2010/wordprocessingShape">
                  <wps:wsp>
                    <wps:cNvCnPr/>
                    <wps:spPr>
                      <a:xfrm flipV="1">
                        <a:off x="4133850" y="864870"/>
                        <a:ext cx="5505450" cy="952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pt;margin-top:25.1pt;height:0.75pt;width:433.5pt;z-index:251659264;mso-width-relative:page;mso-height-relative:page;" filled="f" stroked="t" coordsize="21600,21600" o:gfxdata="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knY97ZAAAACAEAAA8AAAAAAAAAAQAgAAAAIgAAAGRycy9kb3du&#10;cmV2LnhtbFBLAQIUABQAAAAIAIdO4kAe7IPM/gEAAMoDAAAOAAAAAAAAAAEAIAAAACgBAABkcnMv&#10;ZTJvRG9jLnhtbFBLBQYAAAAABgAGAFkBAACY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10" name="图片 10"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南川区人民政府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6E875">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14:paraId="0A547063">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-13970</wp:posOffset>
              </wp:positionH>
              <wp:positionV relativeFrom="paragraph">
                <wp:posOffset>328295</wp:posOffset>
              </wp:positionV>
              <wp:extent cx="8220075" cy="10160"/>
              <wp:effectExtent l="0" t="0" r="0" b="0"/>
              <wp:wrapNone/>
              <wp:docPr id="8" name="直接连接符 8"/>
              <wp:cNvGraphicFramePr/>
              <a:graphic xmlns:a="http://schemas.openxmlformats.org/drawingml/2006/main">
                <a:graphicData uri="http://schemas.microsoft.com/office/word/2010/wordprocessingShape">
                  <wps:wsp>
                    <wps:cNvCnPr/>
                    <wps:spPr>
                      <a:xfrm>
                        <a:off x="4133850" y="864870"/>
                        <a:ext cx="8220075" cy="1016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pt;margin-top:25.85pt;height:0.8pt;width:647.25pt;z-index:251664384;mso-width-relative:page;mso-height-relative:page;" filled="f" stroked="t" coordsize="21600,21600" o:gfxdata="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k/n+41gAAAAkBAAAPAAAAAAAAAAEAIAAAACIAAABkcnMvZG93bnJldi54bWxQSwEC&#10;FAAUAAAACACHTuJASu4MdPYBAADBAwAADgAAAAAAAAABACAAAAAlAQAAZHJzL2Uyb0RvYy54bWxQ&#10;SwUGAAAAAAYABgBZAQAAjQ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南川区人民政府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M2ZiZTcxNDE3YmQ4MTFjMDU3MzA0ZTNlYTUxNzcifQ=="/>
  </w:docVars>
  <w:rsids>
    <w:rsidRoot w:val="00172A27"/>
    <w:rsid w:val="00217B43"/>
    <w:rsid w:val="00E8701E"/>
    <w:rsid w:val="019E71BD"/>
    <w:rsid w:val="01C65124"/>
    <w:rsid w:val="041C42DA"/>
    <w:rsid w:val="04B679C3"/>
    <w:rsid w:val="05F07036"/>
    <w:rsid w:val="06E00104"/>
    <w:rsid w:val="080F63D8"/>
    <w:rsid w:val="09341458"/>
    <w:rsid w:val="0952512D"/>
    <w:rsid w:val="098254C2"/>
    <w:rsid w:val="09D97B51"/>
    <w:rsid w:val="0A766EDE"/>
    <w:rsid w:val="0AD64BE8"/>
    <w:rsid w:val="0B0912D7"/>
    <w:rsid w:val="0E025194"/>
    <w:rsid w:val="152D2DCA"/>
    <w:rsid w:val="184B249D"/>
    <w:rsid w:val="187168EA"/>
    <w:rsid w:val="196673CA"/>
    <w:rsid w:val="1B2F4AEE"/>
    <w:rsid w:val="1CF734C9"/>
    <w:rsid w:val="1DEC284C"/>
    <w:rsid w:val="1E6523AC"/>
    <w:rsid w:val="22440422"/>
    <w:rsid w:val="22BB4BBB"/>
    <w:rsid w:val="25B716AF"/>
    <w:rsid w:val="2AEB3417"/>
    <w:rsid w:val="31A15F24"/>
    <w:rsid w:val="324A1681"/>
    <w:rsid w:val="36314CDF"/>
    <w:rsid w:val="36FB1DF0"/>
    <w:rsid w:val="395347B5"/>
    <w:rsid w:val="39A232A0"/>
    <w:rsid w:val="39E745AA"/>
    <w:rsid w:val="3B5A6BBB"/>
    <w:rsid w:val="3EDA13A6"/>
    <w:rsid w:val="417B75E9"/>
    <w:rsid w:val="42F058B7"/>
    <w:rsid w:val="436109F6"/>
    <w:rsid w:val="441A38D4"/>
    <w:rsid w:val="4504239D"/>
    <w:rsid w:val="4BC77339"/>
    <w:rsid w:val="4C9236C5"/>
    <w:rsid w:val="4E250A85"/>
    <w:rsid w:val="4E457F8B"/>
    <w:rsid w:val="4FFD4925"/>
    <w:rsid w:val="505C172E"/>
    <w:rsid w:val="506405EA"/>
    <w:rsid w:val="52F46F0B"/>
    <w:rsid w:val="532B6A10"/>
    <w:rsid w:val="53D8014D"/>
    <w:rsid w:val="55C643F5"/>
    <w:rsid w:val="55E064E0"/>
    <w:rsid w:val="571D6CF2"/>
    <w:rsid w:val="572C6D10"/>
    <w:rsid w:val="5DC34279"/>
    <w:rsid w:val="5FCD688E"/>
    <w:rsid w:val="5FF9BDAA"/>
    <w:rsid w:val="5FFE5333"/>
    <w:rsid w:val="608816D1"/>
    <w:rsid w:val="60EF4E7F"/>
    <w:rsid w:val="627F0E6B"/>
    <w:rsid w:val="648B0A32"/>
    <w:rsid w:val="665233C1"/>
    <w:rsid w:val="66F42BF3"/>
    <w:rsid w:val="69AC0D42"/>
    <w:rsid w:val="6AD9688B"/>
    <w:rsid w:val="6D0E3F22"/>
    <w:rsid w:val="6EC07DCD"/>
    <w:rsid w:val="70352268"/>
    <w:rsid w:val="71032C88"/>
    <w:rsid w:val="744E4660"/>
    <w:rsid w:val="753355A2"/>
    <w:rsid w:val="759F1C61"/>
    <w:rsid w:val="769F2DE8"/>
    <w:rsid w:val="76FDEB7C"/>
    <w:rsid w:val="795D728C"/>
    <w:rsid w:val="79C65162"/>
    <w:rsid w:val="7C9011D9"/>
    <w:rsid w:val="7DC651C5"/>
    <w:rsid w:val="7DF350ED"/>
    <w:rsid w:val="7E7D28B6"/>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2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48"/>
      <w:szCs w:val="24"/>
      <w:lang w:val="en-US" w:eastAsia="zh-CN" w:bidi="ar"/>
    </w:rPr>
  </w:style>
  <w:style w:type="paragraph" w:styleId="5">
    <w:name w:val="toc 3"/>
    <w:basedOn w:val="1"/>
    <w:next w:val="1"/>
    <w:qFormat/>
    <w:uiPriority w:val="0"/>
    <w:pPr>
      <w:keepNext w:val="0"/>
      <w:keepLines w:val="0"/>
      <w:widowControl w:val="0"/>
      <w:suppressLineNumbers w:val="0"/>
      <w:spacing w:before="0" w:beforeAutospacing="0" w:after="0" w:afterAutospacing="0"/>
      <w:ind w:left="840" w:leftChars="400" w:right="0"/>
      <w:jc w:val="both"/>
    </w:pPr>
    <w:rPr>
      <w:rFonts w:hint="default" w:ascii="Times New Roman" w:hAnsi="Times New Roman" w:eastAsia="方正仿宋_GBK" w:cs="Times New Roman"/>
      <w:kern w:val="2"/>
      <w:sz w:val="32"/>
      <w:szCs w:val="20"/>
      <w:lang w:val="en-US" w:eastAsia="zh-CN" w:bidi="ar"/>
    </w:rPr>
  </w:style>
  <w:style w:type="paragraph" w:styleId="6">
    <w:name w:val="footer"/>
    <w:basedOn w:val="1"/>
    <w:link w:val="18"/>
    <w:qFormat/>
    <w:uiPriority w:val="0"/>
    <w:pPr>
      <w:tabs>
        <w:tab w:val="center" w:pos="4153"/>
        <w:tab w:val="right" w:pos="8306"/>
      </w:tabs>
      <w:snapToGrid w:val="0"/>
      <w:jc w:val="left"/>
    </w:pPr>
    <w:rPr>
      <w:sz w:val="18"/>
    </w:rPr>
  </w:style>
  <w:style w:type="paragraph" w:styleId="7">
    <w:name w:val="header"/>
    <w:basedOn w:val="1"/>
    <w:link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link w:val="17"/>
    <w:qFormat/>
    <w:uiPriority w:val="0"/>
    <w:pPr>
      <w:keepNext w:val="0"/>
      <w:keepLines w:val="0"/>
      <w:widowControl w:val="0"/>
      <w:suppressLineNumbers w:val="0"/>
      <w:spacing w:before="0" w:beforeAutospacing="0" w:after="120" w:afterAutospacing="0" w:line="480" w:lineRule="auto"/>
      <w:ind w:left="0" w:right="0"/>
      <w:jc w:val="both"/>
    </w:pPr>
    <w:rPr>
      <w:rFonts w:hint="default" w:ascii="Times New Roman" w:hAnsi="Times New Roman" w:eastAsia="宋体" w:cs="Times New Roman"/>
      <w:kern w:val="2"/>
      <w:sz w:val="21"/>
      <w:szCs w:val="20"/>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character" w:styleId="13">
    <w:name w:val="FollowedHyperlink"/>
    <w:basedOn w:val="11"/>
    <w:qFormat/>
    <w:uiPriority w:val="0"/>
    <w:rPr>
      <w:color w:val="800080"/>
      <w:u w:val="single"/>
    </w:rPr>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Calibri" w:hAnsi="Calibri" w:eastAsia="宋体" w:cs="宋体"/>
      <w:kern w:val="0"/>
      <w:szCs w:val="32"/>
    </w:rPr>
  </w:style>
  <w:style w:type="character" w:customStyle="1" w:styleId="16">
    <w:name w:val="页眉 Char"/>
    <w:basedOn w:val="11"/>
    <w:link w:val="7"/>
    <w:qFormat/>
    <w:uiPriority w:val="0"/>
    <w:rPr>
      <w:rFonts w:hint="eastAsia" w:ascii="仿宋_GB2312" w:eastAsia="仿宋_GB2312" w:cs="仿宋_GB2312"/>
      <w:kern w:val="2"/>
      <w:sz w:val="18"/>
      <w:szCs w:val="24"/>
    </w:rPr>
  </w:style>
  <w:style w:type="character" w:customStyle="1" w:styleId="17">
    <w:name w:val="正文文本 2 Char"/>
    <w:basedOn w:val="11"/>
    <w:link w:val="8"/>
    <w:qFormat/>
    <w:uiPriority w:val="0"/>
    <w:rPr>
      <w:rFonts w:hint="eastAsia" w:ascii="仿宋_GB2312" w:eastAsia="仿宋_GB2312" w:cs="仿宋_GB2312"/>
      <w:kern w:val="2"/>
      <w:sz w:val="32"/>
      <w:szCs w:val="24"/>
    </w:rPr>
  </w:style>
  <w:style w:type="character" w:customStyle="1" w:styleId="18">
    <w:name w:val="页脚 Char"/>
    <w:basedOn w:val="11"/>
    <w:link w:val="6"/>
    <w:qFormat/>
    <w:uiPriority w:val="0"/>
    <w:rPr>
      <w:rFonts w:hint="eastAsia" w:ascii="仿宋_GB2312" w:eastAsia="仿宋_GB2312" w:cs="仿宋_GB2312"/>
      <w:kern w:val="2"/>
      <w:sz w:val="18"/>
      <w:szCs w:val="24"/>
    </w:rPr>
  </w:style>
  <w:style w:type="character" w:customStyle="1" w:styleId="19">
    <w:name w:val="font21"/>
    <w:basedOn w:val="11"/>
    <w:qFormat/>
    <w:uiPriority w:val="0"/>
    <w:rPr>
      <w:rFonts w:hint="eastAsia" w:ascii="方正仿宋_GBK" w:hAnsi="方正仿宋_GBK" w:eastAsia="方正仿宋_GBK" w:cs="方正仿宋_GBK"/>
      <w:color w:val="000000"/>
      <w:sz w:val="20"/>
      <w:szCs w:val="20"/>
      <w:u w:val="none"/>
    </w:rPr>
  </w:style>
  <w:style w:type="character" w:customStyle="1" w:styleId="20">
    <w:name w:val="p0 Char Char"/>
    <w:basedOn w:val="11"/>
    <w:uiPriority w:val="0"/>
    <w:rPr>
      <w:sz w:val="21"/>
      <w:szCs w:val="21"/>
    </w:rPr>
  </w:style>
  <w:style w:type="character" w:customStyle="1" w:styleId="21">
    <w:name w:val="正文文本 Char"/>
    <w:basedOn w:val="11"/>
    <w:link w:val="4"/>
    <w:qFormat/>
    <w:uiPriority w:val="0"/>
    <w:rPr>
      <w:rFonts w:hint="default" w:ascii="Calibri" w:hAnsi="Calibri" w:cs="Calibri"/>
      <w:kern w:val="2"/>
      <w:sz w:val="48"/>
      <w:szCs w:val="24"/>
    </w:rPr>
  </w:style>
  <w:style w:type="character" w:customStyle="1" w:styleId="22">
    <w:name w:val="page number"/>
    <w:basedOn w:val="11"/>
    <w:qFormat/>
    <w:uiPriority w:val="0"/>
  </w:style>
  <w:style w:type="paragraph" w:customStyle="1" w:styleId="23">
    <w:name w:val="Body Text 2"/>
    <w:basedOn w:val="1"/>
    <w:qFormat/>
    <w:uiPriority w:val="0"/>
    <w:pPr>
      <w:keepNext w:val="0"/>
      <w:keepLines w:val="0"/>
      <w:widowControl w:val="0"/>
      <w:suppressLineNumbers w:val="0"/>
      <w:snapToGrid w:val="0"/>
      <w:spacing w:before="0" w:beforeAutospacing="0" w:after="0" w:afterAutospacing="0" w:line="540" w:lineRule="exact"/>
      <w:ind w:left="0" w:right="0"/>
      <w:jc w:val="both"/>
    </w:pPr>
    <w:rPr>
      <w:rFonts w:hint="default" w:ascii="Times New Roman" w:hAnsi="Times New Roman" w:eastAsia="方正仿宋_GBK" w:cs="Times New Roman"/>
      <w:color w:val="000000"/>
      <w:kern w:val="2"/>
      <w:sz w:val="21"/>
      <w:szCs w:val="24"/>
      <w:lang w:val="en-US" w:eastAsia="zh-CN" w:bidi="ar"/>
    </w:rPr>
  </w:style>
  <w:style w:type="paragraph" w:customStyle="1" w:styleId="24">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仿宋_GB2312" w:hAnsi="Calibri" w:eastAsia="仿宋_GB2312" w:cs="仿宋_GB2312"/>
      <w:color w:val="000000"/>
      <w:kern w:val="0"/>
      <w:sz w:val="24"/>
      <w:szCs w:val="24"/>
      <w:lang w:val="en-US" w:eastAsia="zh-CN" w:bidi="ar"/>
    </w:rPr>
  </w:style>
  <w:style w:type="paragraph" w:customStyle="1" w:styleId="25">
    <w:name w:val="正文文本 21"/>
    <w:basedOn w:val="1"/>
    <w:qFormat/>
    <w:uiPriority w:val="0"/>
    <w:pPr>
      <w:keepNext w:val="0"/>
      <w:keepLines w:val="0"/>
      <w:widowControl w:val="0"/>
      <w:suppressLineNumbers w:val="0"/>
      <w:snapToGrid w:val="0"/>
      <w:spacing w:before="0" w:beforeAutospacing="0" w:after="0" w:afterAutospacing="0" w:line="540" w:lineRule="exact"/>
      <w:ind w:left="0" w:right="0"/>
      <w:jc w:val="both"/>
    </w:pPr>
    <w:rPr>
      <w:rFonts w:hint="default" w:ascii="Times New Roman" w:hAnsi="Times New Roman" w:eastAsia="方正仿宋_GBK" w:cs="Times New Roman"/>
      <w:color w:val="000000"/>
      <w:kern w:val="2"/>
      <w:sz w:val="32"/>
      <w:szCs w:val="3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6044</Words>
  <Characters>6253</Characters>
  <Lines>1</Lines>
  <Paragraphs>1</Paragraphs>
  <TotalTime>15</TotalTime>
  <ScaleCrop>false</ScaleCrop>
  <LinksUpToDate>false</LinksUpToDate>
  <CharactersWithSpaces>6288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2025-03-06T07:25:06Z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F8848BD44857426A9F2A5EF9895D17D9_13</vt:lpwstr>
  </property>
  <property fmtid="{D5CDD505-2E9C-101B-9397-08002B2CF9AE}" pid="4" name="KSOTemplateDocerSaveRecord">
    <vt:lpwstr>eyJoZGlkIjoiNTRjM2ZiZTcxNDE3YmQ4MTFjMDU3MzA0ZTNlYTUxNzcifQ==</vt:lpwstr>
  </property>
</Properties>
</file>