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E7E7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2"/>
          <w:szCs w:val="32"/>
        </w:rPr>
      </w:pPr>
    </w:p>
    <w:p w14:paraId="6C1A93F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方正小标宋_GBK" w:cs="Times New Roman"/>
          <w:sz w:val="44"/>
          <w:szCs w:val="44"/>
        </w:rPr>
      </w:pPr>
    </w:p>
    <w:p w14:paraId="3F9D40A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重庆市南川区人民政府</w:t>
      </w:r>
    </w:p>
    <w:p w14:paraId="1E242FA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rPr>
        <w:t>关于</w:t>
      </w:r>
      <w:r>
        <w:rPr>
          <w:rFonts w:hint="default" w:ascii="Times New Roman" w:hAnsi="Times New Roman" w:eastAsia="方正小标宋_GBK" w:cs="Times New Roman"/>
          <w:color w:val="000000"/>
          <w:sz w:val="44"/>
          <w:szCs w:val="44"/>
          <w:lang w:eastAsia="zh-CN"/>
        </w:rPr>
        <w:t>南川工业园区水江</w:t>
      </w:r>
      <w:r>
        <w:rPr>
          <w:rFonts w:hint="default" w:ascii="Times New Roman" w:hAnsi="Times New Roman" w:eastAsia="方正小标宋_GBK" w:cs="Times New Roman"/>
          <w:color w:val="000000"/>
          <w:sz w:val="44"/>
          <w:szCs w:val="44"/>
        </w:rPr>
        <w:t>化工</w:t>
      </w:r>
      <w:r>
        <w:rPr>
          <w:rFonts w:hint="default" w:ascii="Times New Roman" w:hAnsi="Times New Roman" w:eastAsia="方正小标宋_GBK" w:cs="Times New Roman"/>
          <w:color w:val="000000"/>
          <w:sz w:val="44"/>
          <w:szCs w:val="44"/>
          <w:lang w:eastAsia="zh-CN"/>
        </w:rPr>
        <w:t>产业园</w:t>
      </w:r>
    </w:p>
    <w:p w14:paraId="530B7B9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实施封闭化管理的公告</w:t>
      </w:r>
    </w:p>
    <w:p w14:paraId="5FEFE61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南川</w:t>
      </w:r>
      <w:r>
        <w:rPr>
          <w:rFonts w:hint="default" w:ascii="Times New Roman" w:hAnsi="Times New Roman" w:eastAsia="方正仿宋_GBK" w:cs="Times New Roman"/>
          <w:color w:val="000000"/>
          <w:sz w:val="32"/>
          <w:szCs w:val="32"/>
        </w:rPr>
        <w:t>府</w:t>
      </w:r>
      <w:r>
        <w:rPr>
          <w:rFonts w:hint="eastAsia" w:ascii="Times New Roman" w:hAnsi="Times New Roman" w:eastAsia="方正仿宋_GBK" w:cs="Times New Roman"/>
          <w:color w:val="000000"/>
          <w:sz w:val="32"/>
          <w:szCs w:val="32"/>
          <w:lang w:val="en-US" w:eastAsia="zh-CN"/>
        </w:rPr>
        <w:t>发</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2025</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号</w:t>
      </w:r>
    </w:p>
    <w:p w14:paraId="15FB8AF1">
      <w:pPr>
        <w:pStyle w:val="2"/>
        <w:rPr>
          <w:rFonts w:hint="default"/>
        </w:rPr>
      </w:pPr>
    </w:p>
    <w:p w14:paraId="746F51D6">
      <w:pPr>
        <w:keepNext w:val="0"/>
        <w:keepLines w:val="0"/>
        <w:pageBreakBefore w:val="0"/>
        <w:widowControl w:val="0"/>
        <w:kinsoku/>
        <w:wordWrap/>
        <w:overflowPunct/>
        <w:topLinePunct w:val="0"/>
        <w:autoSpaceDE/>
        <w:autoSpaceDN/>
        <w:bidi w:val="0"/>
        <w:adjustRightInd/>
        <w:snapToGrid/>
        <w:spacing w:after="157" w:afterLines="5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为提升</w:t>
      </w:r>
      <w:r>
        <w:rPr>
          <w:rFonts w:hint="default" w:ascii="Times New Roman" w:hAnsi="Times New Roman" w:eastAsia="方正仿宋_GBK" w:cs="Times New Roman"/>
          <w:color w:val="000000"/>
          <w:sz w:val="32"/>
          <w:szCs w:val="32"/>
          <w:lang w:eastAsia="zh-CN"/>
        </w:rPr>
        <w:t>南川工业园区水江化工产业园</w:t>
      </w:r>
      <w:r>
        <w:rPr>
          <w:rFonts w:hint="default" w:ascii="Times New Roman" w:hAnsi="Times New Roman" w:eastAsia="方正仿宋_GBK" w:cs="Times New Roman"/>
          <w:color w:val="000000"/>
          <w:sz w:val="32"/>
          <w:szCs w:val="32"/>
        </w:rPr>
        <w:t>安全保障水平，规范园区内人员和车辆管理，根据《中华人民共和国安全生产法》《应急管理部关于印发化工园区安全风险排查治理导则</w:t>
      </w:r>
      <w:r>
        <w:rPr>
          <w:rFonts w:hint="default" w:ascii="Times New Roman" w:hAnsi="Times New Roman" w:eastAsia="方正仿宋_GBK" w:cs="Times New Roman"/>
          <w:color w:val="000000"/>
          <w:sz w:val="32"/>
          <w:szCs w:val="32"/>
          <w:lang w:eastAsia="zh-CN"/>
        </w:rPr>
        <w:t>的通知</w:t>
      </w:r>
      <w:r>
        <w:rPr>
          <w:rFonts w:hint="default" w:ascii="Times New Roman" w:hAnsi="Times New Roman" w:eastAsia="方正仿宋_GBK" w:cs="Times New Roman"/>
          <w:color w:val="000000"/>
          <w:sz w:val="32"/>
          <w:szCs w:val="32"/>
        </w:rPr>
        <w:t>》（应急〔2023〕123号）</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工业和信息化部</w:t>
      </w:r>
      <w:r>
        <w:rPr>
          <w:rFonts w:hint="default" w:ascii="Times New Roman" w:hAnsi="Times New Roman" w:eastAsia="方正仿宋_GBK" w:cs="Times New Roman"/>
          <w:color w:val="000000"/>
          <w:sz w:val="32"/>
          <w:szCs w:val="32"/>
          <w:lang w:eastAsia="zh-CN"/>
        </w:rPr>
        <w:t>等六部委</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《关于印发化工园区建设标准和认定管理办法（试行）的通知》（工信部联原〔2021〕220号）等</w:t>
      </w:r>
      <w:r>
        <w:rPr>
          <w:rFonts w:hint="default" w:ascii="Times New Roman" w:hAnsi="Times New Roman" w:eastAsia="方正仿宋_GBK" w:cs="Times New Roman"/>
          <w:color w:val="000000"/>
          <w:sz w:val="32"/>
          <w:szCs w:val="32"/>
          <w:lang w:eastAsia="zh-CN"/>
        </w:rPr>
        <w:t>相关规定</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决定</w:t>
      </w:r>
      <w:r>
        <w:rPr>
          <w:rFonts w:hint="default" w:ascii="Times New Roman" w:hAnsi="Times New Roman" w:eastAsia="方正仿宋_GBK" w:cs="Times New Roman"/>
          <w:color w:val="000000"/>
          <w:sz w:val="32"/>
          <w:szCs w:val="32"/>
        </w:rPr>
        <w:t>自</w:t>
      </w:r>
      <w:r>
        <w:rPr>
          <w:rFonts w:hint="default" w:ascii="Times New Roman" w:hAnsi="Times New Roman" w:eastAsia="方正仿宋_GBK" w:cs="Times New Roman"/>
          <w:color w:val="000000"/>
          <w:sz w:val="32"/>
          <w:szCs w:val="32"/>
          <w:lang w:val="en-US" w:eastAsia="zh-CN"/>
        </w:rPr>
        <w:t>2025年4月23日起</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对南川工业园区</w:t>
      </w:r>
      <w:r>
        <w:rPr>
          <w:rFonts w:hint="default" w:ascii="Times New Roman" w:hAnsi="Times New Roman" w:eastAsia="方正仿宋_GBK" w:cs="Times New Roman"/>
          <w:color w:val="000000"/>
          <w:sz w:val="32"/>
          <w:szCs w:val="32"/>
          <w:lang w:eastAsia="zh-CN"/>
        </w:rPr>
        <w:t>水江化工产业园实施</w:t>
      </w:r>
      <w:r>
        <w:rPr>
          <w:rFonts w:hint="default" w:ascii="Times New Roman" w:hAnsi="Times New Roman" w:eastAsia="方正仿宋_GBK" w:cs="Times New Roman"/>
          <w:color w:val="000000"/>
          <w:sz w:val="32"/>
          <w:szCs w:val="32"/>
        </w:rPr>
        <w:t>封闭</w:t>
      </w:r>
      <w:r>
        <w:rPr>
          <w:rFonts w:hint="default" w:ascii="Times New Roman" w:hAnsi="Times New Roman" w:eastAsia="方正仿宋_GBK" w:cs="Times New Roman"/>
          <w:color w:val="000000"/>
          <w:sz w:val="32"/>
          <w:szCs w:val="32"/>
          <w:lang w:val="en-US" w:eastAsia="zh-CN"/>
        </w:rPr>
        <w:t>化</w:t>
      </w:r>
      <w:r>
        <w:rPr>
          <w:rFonts w:hint="default" w:ascii="Times New Roman" w:hAnsi="Times New Roman" w:eastAsia="方正仿宋_GBK" w:cs="Times New Roman"/>
          <w:color w:val="000000"/>
          <w:sz w:val="32"/>
          <w:szCs w:val="32"/>
        </w:rPr>
        <w:t>管理</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试运行为期一个月（2025年4月23日</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2025年5月22日）</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试运行结束后，正式实行</w:t>
      </w:r>
      <w:r>
        <w:rPr>
          <w:rFonts w:hint="default" w:ascii="Times New Roman" w:hAnsi="Times New Roman" w:eastAsia="方正仿宋_GBK" w:cs="Times New Roman"/>
          <w:color w:val="000000"/>
          <w:sz w:val="32"/>
          <w:szCs w:val="32"/>
        </w:rPr>
        <w:t>封闭</w:t>
      </w:r>
      <w:r>
        <w:rPr>
          <w:rFonts w:hint="default" w:ascii="Times New Roman" w:hAnsi="Times New Roman" w:eastAsia="方正仿宋_GBK" w:cs="Times New Roman"/>
          <w:color w:val="000000"/>
          <w:sz w:val="32"/>
          <w:szCs w:val="32"/>
          <w:lang w:val="en-US" w:eastAsia="zh-CN"/>
        </w:rPr>
        <w:t>化</w:t>
      </w:r>
      <w:r>
        <w:rPr>
          <w:rFonts w:hint="default" w:ascii="Times New Roman" w:hAnsi="Times New Roman" w:eastAsia="方正仿宋_GBK" w:cs="Times New Roman"/>
          <w:color w:val="000000"/>
          <w:sz w:val="32"/>
          <w:szCs w:val="32"/>
        </w:rPr>
        <w:t>管理</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现将有关事项公告如下：</w:t>
      </w:r>
    </w:p>
    <w:p w14:paraId="0BDF326D">
      <w:pPr>
        <w:keepNext w:val="0"/>
        <w:keepLines w:val="0"/>
        <w:pageBreakBefore w:val="0"/>
        <w:widowControl w:val="0"/>
        <w:kinsoku/>
        <w:wordWrap/>
        <w:overflowPunct/>
        <w:topLinePunct w:val="0"/>
        <w:autoSpaceDE/>
        <w:autoSpaceDN/>
        <w:bidi w:val="0"/>
        <w:adjustRightInd/>
        <w:snapToGrid/>
        <w:spacing w:after="157" w:afterLines="50" w:line="600"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一、封闭化管理范围</w:t>
      </w:r>
    </w:p>
    <w:p w14:paraId="1B039313">
      <w:pPr>
        <w:keepNext w:val="0"/>
        <w:keepLines w:val="0"/>
        <w:pageBreakBefore w:val="0"/>
        <w:widowControl w:val="0"/>
        <w:kinsoku/>
        <w:wordWrap/>
        <w:overflowPunct/>
        <w:topLinePunct w:val="0"/>
        <w:autoSpaceDE/>
        <w:autoSpaceDN/>
        <w:bidi w:val="0"/>
        <w:adjustRightInd/>
        <w:snapToGrid/>
        <w:spacing w:after="157" w:afterLines="5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shd w:val="clear" w:color="auto" w:fill="FFFFFF"/>
          <w:lang w:val="en-US" w:eastAsia="zh-CN" w:bidi="ar"/>
        </w:rPr>
        <w:t>封闭化管理四至范围：东至水江大道南涪铁路西桥头，西至水江大道南水路连接处（祥泰燃气公司增压站门口东侧），南至大顺路大顺桥北桥头，北至大燕支路中铝赤泥尾矿库坝前沿线。</w:t>
      </w:r>
    </w:p>
    <w:p w14:paraId="2FFCD527">
      <w:pPr>
        <w:keepNext w:val="0"/>
        <w:keepLines w:val="0"/>
        <w:pageBreakBefore w:val="0"/>
        <w:widowControl w:val="0"/>
        <w:kinsoku/>
        <w:wordWrap/>
        <w:overflowPunct/>
        <w:topLinePunct w:val="0"/>
        <w:autoSpaceDE/>
        <w:autoSpaceDN/>
        <w:bidi w:val="0"/>
        <w:adjustRightInd/>
        <w:snapToGrid/>
        <w:spacing w:after="157" w:afterLines="50" w:line="600"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二、封闭化卡口设置</w:t>
      </w:r>
    </w:p>
    <w:p w14:paraId="017DA683">
      <w:pPr>
        <w:keepNext w:val="0"/>
        <w:keepLines w:val="0"/>
        <w:pageBreakBefore w:val="0"/>
        <w:widowControl w:val="0"/>
        <w:kinsoku/>
        <w:wordWrap/>
        <w:overflowPunct/>
        <w:topLinePunct w:val="0"/>
        <w:autoSpaceDE/>
        <w:autoSpaceDN/>
        <w:bidi w:val="0"/>
        <w:adjustRightInd/>
        <w:snapToGrid/>
        <w:spacing w:after="157" w:afterLines="50" w:line="600" w:lineRule="exact"/>
        <w:ind w:firstLine="640" w:firstLineChars="200"/>
        <w:textAlignment w:val="auto"/>
        <w:rPr>
          <w:rFonts w:hint="default" w:ascii="Times New Roman" w:hAnsi="Times New Roman" w:eastAsia="方正仿宋_GBK" w:cs="Times New Roman"/>
          <w:color w:val="000000"/>
          <w:kern w:val="0"/>
          <w:sz w:val="32"/>
          <w:szCs w:val="32"/>
          <w:shd w:val="clear" w:color="auto" w:fill="FFFFFF"/>
          <w:lang w:eastAsia="zh-CN" w:bidi="ar"/>
        </w:rPr>
      </w:pPr>
      <w:r>
        <w:rPr>
          <w:rFonts w:hint="default" w:ascii="Times New Roman" w:hAnsi="Times New Roman" w:eastAsia="方正仿宋_GBK" w:cs="Times New Roman"/>
          <w:color w:val="000000"/>
          <w:kern w:val="0"/>
          <w:sz w:val="32"/>
          <w:szCs w:val="32"/>
          <w:shd w:val="clear" w:color="auto" w:fill="FFFFFF"/>
          <w:lang w:bidi="ar"/>
        </w:rPr>
        <w:t>园区</w:t>
      </w:r>
      <w:r>
        <w:rPr>
          <w:rFonts w:hint="default" w:ascii="Times New Roman" w:hAnsi="Times New Roman" w:eastAsia="方正仿宋_GBK" w:cs="Times New Roman"/>
          <w:color w:val="000000"/>
          <w:kern w:val="0"/>
          <w:sz w:val="32"/>
          <w:szCs w:val="32"/>
          <w:highlight w:val="none"/>
          <w:shd w:val="clear" w:color="auto" w:fill="FFFFFF"/>
          <w:lang w:bidi="ar"/>
        </w:rPr>
        <w:t>设立</w:t>
      </w:r>
      <w:r>
        <w:rPr>
          <w:rFonts w:hint="default" w:ascii="Times New Roman" w:hAnsi="Times New Roman" w:eastAsia="方正仿宋_GBK" w:cs="Times New Roman"/>
          <w:color w:val="000000"/>
          <w:kern w:val="0"/>
          <w:sz w:val="32"/>
          <w:szCs w:val="32"/>
          <w:shd w:val="clear" w:color="auto" w:fill="FFFFFF"/>
          <w:lang w:val="en-US" w:eastAsia="zh-CN" w:bidi="ar"/>
        </w:rPr>
        <w:t>兴盛路、大顺路南、大顺路中、大顺路北、大燕支路北、大燕支路南、大坪路、大燕路、AB点污水处理卡口</w:t>
      </w:r>
      <w:r>
        <w:rPr>
          <w:rFonts w:hint="default" w:ascii="Times New Roman" w:hAnsi="Times New Roman" w:eastAsia="方正仿宋_GBK" w:cs="Times New Roman"/>
          <w:color w:val="000000"/>
          <w:kern w:val="0"/>
          <w:sz w:val="32"/>
          <w:szCs w:val="32"/>
          <w:shd w:val="clear" w:color="auto" w:fill="FFFFFF"/>
          <w:lang w:eastAsia="zh-CN" w:bidi="ar"/>
        </w:rPr>
        <w:t>共</w:t>
      </w:r>
      <w:r>
        <w:rPr>
          <w:rFonts w:hint="default" w:ascii="Times New Roman" w:hAnsi="Times New Roman" w:eastAsia="方正仿宋_GBK" w:cs="Times New Roman"/>
          <w:color w:val="000000"/>
          <w:kern w:val="0"/>
          <w:sz w:val="32"/>
          <w:szCs w:val="32"/>
          <w:highlight w:val="none"/>
          <w:shd w:val="clear" w:color="auto" w:fill="FFFFFF"/>
          <w:lang w:bidi="ar"/>
        </w:rPr>
        <w:t>9处卡口</w:t>
      </w:r>
      <w:r>
        <w:rPr>
          <w:rFonts w:hint="default" w:ascii="Times New Roman" w:hAnsi="Times New Roman" w:eastAsia="方正仿宋_GBK" w:cs="Times New Roman"/>
          <w:color w:val="000000"/>
          <w:kern w:val="0"/>
          <w:sz w:val="32"/>
          <w:szCs w:val="32"/>
          <w:shd w:val="clear" w:color="auto" w:fill="FFFFFF"/>
          <w:lang w:eastAsia="zh-CN" w:bidi="ar"/>
        </w:rPr>
        <w:t>。</w:t>
      </w:r>
    </w:p>
    <w:p w14:paraId="46391508">
      <w:pPr>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640" w:firstLineChars="200"/>
        <w:textAlignment w:val="auto"/>
        <w:rPr>
          <w:rFonts w:hint="default" w:ascii="Times New Roman" w:hAnsi="Times New Roman" w:eastAsia="方正仿宋_GBK" w:cs="Times New Roman"/>
          <w:color w:val="000000"/>
          <w:kern w:val="0"/>
          <w:sz w:val="32"/>
          <w:szCs w:val="32"/>
          <w:shd w:val="clear" w:color="auto" w:fill="FFFFFF"/>
          <w:lang w:val="en-US" w:eastAsia="zh-CN" w:bidi="ar"/>
        </w:rPr>
      </w:pPr>
      <w:r>
        <w:rPr>
          <w:rFonts w:hint="default" w:ascii="Times New Roman" w:hAnsi="Times New Roman" w:eastAsia="方正仿宋_GBK" w:cs="Times New Roman"/>
          <w:color w:val="000000"/>
          <w:kern w:val="0"/>
          <w:sz w:val="32"/>
          <w:szCs w:val="32"/>
          <w:shd w:val="clear" w:color="auto" w:fill="FFFFFF"/>
          <w:lang w:val="en-US" w:eastAsia="zh-CN" w:bidi="ar"/>
        </w:rPr>
        <w:t>所有卡口均可通行危化品车、危废车、普货车。其中6个卡口可通行客运车辆，分别为：兴盛路卡口、大顺路南卡口、大顺路中卡口、大燕支路南卡口、大坪路卡口、大燕路卡口；其中3个卡口可通行工程车，分别为：大顺路北卡口、大燕支路北卡口、AB点污水处理卡口；除大燕支路北卡口、AB点污水处理卡口外，均有人行闸机。</w:t>
      </w:r>
    </w:p>
    <w:p w14:paraId="03E9A323">
      <w:pPr>
        <w:keepNext w:val="0"/>
        <w:keepLines w:val="0"/>
        <w:pageBreakBefore w:val="0"/>
        <w:widowControl w:val="0"/>
        <w:kinsoku/>
        <w:wordWrap/>
        <w:overflowPunct/>
        <w:topLinePunct w:val="0"/>
        <w:autoSpaceDE/>
        <w:autoSpaceDN/>
        <w:bidi w:val="0"/>
        <w:adjustRightInd/>
        <w:snapToGrid/>
        <w:spacing w:after="157" w:afterLines="50" w:line="600" w:lineRule="exact"/>
        <w:ind w:firstLine="640" w:firstLineChars="200"/>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eastAsia="zh-CN" w:bidi="ar"/>
        </w:rPr>
        <w:t>卡口采用无人值守方式，在停电、检修等特殊情况下安排专人值守。</w:t>
      </w:r>
    </w:p>
    <w:p w14:paraId="038851D6">
      <w:pPr>
        <w:keepNext w:val="0"/>
        <w:keepLines w:val="0"/>
        <w:pageBreakBefore w:val="0"/>
        <w:widowControl w:val="0"/>
        <w:numPr>
          <w:ilvl w:val="0"/>
          <w:numId w:val="0"/>
        </w:numPr>
        <w:kinsoku/>
        <w:wordWrap/>
        <w:overflowPunct/>
        <w:topLinePunct w:val="0"/>
        <w:autoSpaceDE/>
        <w:autoSpaceDN/>
        <w:bidi w:val="0"/>
        <w:adjustRightInd/>
        <w:snapToGrid/>
        <w:spacing w:after="157" w:afterLines="50" w:line="600" w:lineRule="exact"/>
        <w:ind w:firstLine="640" w:firstLineChars="200"/>
        <w:textAlignment w:val="auto"/>
        <w:rPr>
          <w:rFonts w:hint="default" w:ascii="Times New Roman" w:hAnsi="Times New Roman" w:cs="Times New Roman"/>
          <w:color w:val="000000"/>
          <w:highlight w:val="yellow"/>
        </w:rPr>
      </w:pPr>
      <w:r>
        <w:rPr>
          <w:rFonts w:hint="default" w:ascii="Times New Roman" w:hAnsi="Times New Roman" w:eastAsia="方正黑体_GBK" w:cs="Times New Roman"/>
          <w:color w:val="000000"/>
          <w:kern w:val="2"/>
          <w:sz w:val="32"/>
          <w:szCs w:val="32"/>
          <w:highlight w:val="none"/>
          <w:lang w:val="en-US" w:eastAsia="zh-CN" w:bidi="ar-SA"/>
        </w:rPr>
        <w:t>三、</w:t>
      </w:r>
      <w:r>
        <w:rPr>
          <w:rFonts w:hint="default" w:ascii="Times New Roman" w:hAnsi="Times New Roman" w:eastAsia="方正黑体_GBK" w:cs="Times New Roman"/>
          <w:color w:val="000000"/>
          <w:sz w:val="32"/>
          <w:szCs w:val="32"/>
          <w:highlight w:val="none"/>
        </w:rPr>
        <w:t>封闭化管理要求</w:t>
      </w:r>
    </w:p>
    <w:p w14:paraId="2C091050">
      <w:pPr>
        <w:keepNext w:val="0"/>
        <w:keepLines w:val="0"/>
        <w:pageBreakBefore w:val="0"/>
        <w:widowControl w:val="0"/>
        <w:kinsoku/>
        <w:wordWrap/>
        <w:overflowPunct/>
        <w:topLinePunct w:val="0"/>
        <w:autoSpaceDE/>
        <w:autoSpaceDN/>
        <w:bidi w:val="0"/>
        <w:adjustRightInd/>
        <w:snapToGrid/>
        <w:spacing w:after="157" w:afterLines="50" w:line="600" w:lineRule="exact"/>
        <w:ind w:firstLine="640" w:firstLineChars="200"/>
        <w:textAlignment w:val="auto"/>
        <w:rPr>
          <w:rFonts w:hint="default" w:ascii="Times New Roman" w:hAnsi="Times New Roman" w:eastAsia="方正仿宋_GBK" w:cs="Times New Roman"/>
          <w:color w:val="000000"/>
          <w:kern w:val="0"/>
          <w:sz w:val="32"/>
          <w:szCs w:val="32"/>
          <w:shd w:val="clear" w:color="auto" w:fill="FFFFFF"/>
          <w:lang w:val="en-US" w:eastAsia="zh-CN" w:bidi="ar"/>
        </w:rPr>
      </w:pPr>
      <w:r>
        <w:rPr>
          <w:rFonts w:hint="eastAsia" w:ascii="方正仿宋_GBK" w:hAnsi="方正仿宋_GBK" w:eastAsia="方正仿宋_GBK" w:cs="方正仿宋_GBK"/>
          <w:color w:val="000000"/>
          <w:sz w:val="32"/>
          <w:szCs w:val="32"/>
        </w:rPr>
        <w:t>（一）</w:t>
      </w:r>
      <w:r>
        <w:rPr>
          <w:rFonts w:hint="default" w:ascii="Times New Roman" w:hAnsi="Times New Roman" w:eastAsia="方正仿宋_GBK" w:cs="Times New Roman"/>
          <w:color w:val="000000"/>
          <w:kern w:val="0"/>
          <w:sz w:val="32"/>
          <w:szCs w:val="32"/>
          <w:shd w:val="clear" w:color="auto" w:fill="FFFFFF"/>
          <w:lang w:val="en-US" w:eastAsia="zh-CN" w:bidi="ar"/>
        </w:rPr>
        <w:t>实行全预约准入制度，人员通过人脸识别闸机通行，车辆凭电子通行证经车牌识别进出。临时进出园区的车辆（含危化品货物运输车辆），可通过</w:t>
      </w:r>
      <w:r>
        <w:rPr>
          <w:rFonts w:hint="default" w:ascii="Times New Roman" w:hAnsi="Times New Roman" w:eastAsia="方正仿宋_GBK" w:cs="Times New Roman"/>
          <w:sz w:val="32"/>
          <w:szCs w:val="32"/>
          <w:lang w:val="en-US" w:eastAsia="zh-CN"/>
        </w:rPr>
        <w:t>官方微信小程序提前预约</w:t>
      </w:r>
      <w:r>
        <w:rPr>
          <w:rFonts w:hint="default" w:ascii="Times New Roman" w:hAnsi="Times New Roman" w:eastAsia="方正仿宋_GBK" w:cs="Times New Roman"/>
          <w:color w:val="000000"/>
          <w:kern w:val="0"/>
          <w:sz w:val="32"/>
          <w:szCs w:val="32"/>
          <w:shd w:val="clear" w:color="auto" w:fill="FFFFFF"/>
          <w:lang w:val="en-US" w:eastAsia="zh-CN" w:bidi="ar"/>
        </w:rPr>
        <w:t>，经审核通过后可临时进出园区临时通行，危化品运输车辆需额外提前报备驾驶员资质、货物信息及运输路线。</w:t>
      </w:r>
    </w:p>
    <w:p w14:paraId="77F6C53B">
      <w:pPr>
        <w:keepNext w:val="0"/>
        <w:keepLines w:val="0"/>
        <w:pageBreakBefore w:val="0"/>
        <w:widowControl w:val="0"/>
        <w:kinsoku/>
        <w:wordWrap/>
        <w:overflowPunct/>
        <w:topLinePunct w:val="0"/>
        <w:autoSpaceDE/>
        <w:autoSpaceDN/>
        <w:bidi w:val="0"/>
        <w:adjustRightInd/>
        <w:snapToGrid/>
        <w:spacing w:after="157" w:afterLines="50" w:line="600" w:lineRule="exact"/>
        <w:ind w:firstLine="640" w:firstLineChars="200"/>
        <w:textAlignment w:val="auto"/>
        <w:rPr>
          <w:rFonts w:hint="default" w:ascii="Times New Roman" w:hAnsi="Times New Roman" w:eastAsia="方正仿宋_GBK" w:cs="Times New Roman"/>
          <w:color w:val="000000"/>
          <w:kern w:val="0"/>
          <w:sz w:val="32"/>
          <w:szCs w:val="32"/>
          <w:shd w:val="clear" w:color="auto" w:fill="FFFFFF"/>
          <w:lang w:val="en-US" w:eastAsia="zh-CN" w:bidi="ar"/>
        </w:rPr>
      </w:pPr>
      <w:r>
        <w:rPr>
          <w:rFonts w:hint="default" w:ascii="方正仿宋_GBK" w:hAnsi="方正仿宋_GBK" w:eastAsia="方正仿宋_GBK" w:cs="方正仿宋_GBK"/>
          <w:color w:val="000000"/>
          <w:sz w:val="32"/>
          <w:szCs w:val="32"/>
        </w:rPr>
        <w:t>（</w:t>
      </w:r>
      <w:r>
        <w:rPr>
          <w:rFonts w:hint="default" w:ascii="方正仿宋_GBK" w:hAnsi="方正仿宋_GBK" w:eastAsia="方正仿宋_GBK" w:cs="方正仿宋_GBK"/>
          <w:color w:val="000000"/>
          <w:sz w:val="32"/>
          <w:szCs w:val="32"/>
          <w:lang w:val="en-US" w:eastAsia="zh-CN"/>
        </w:rPr>
        <w:t>二</w:t>
      </w:r>
      <w:r>
        <w:rPr>
          <w:rFonts w:hint="default" w:ascii="方正仿宋_GBK" w:hAnsi="方正仿宋_GBK" w:eastAsia="方正仿宋_GBK" w:cs="方正仿宋_GBK"/>
          <w:color w:val="000000"/>
          <w:sz w:val="32"/>
          <w:szCs w:val="32"/>
        </w:rPr>
        <w:t>）</w:t>
      </w:r>
      <w:r>
        <w:rPr>
          <w:rFonts w:hint="default" w:ascii="Times New Roman" w:hAnsi="Times New Roman" w:eastAsia="方正仿宋_GBK" w:cs="Times New Roman"/>
          <w:color w:val="000000"/>
          <w:kern w:val="0"/>
          <w:sz w:val="32"/>
          <w:szCs w:val="32"/>
          <w:shd w:val="clear" w:color="auto" w:fill="FFFFFF"/>
          <w:lang w:val="en-US" w:eastAsia="zh-CN" w:bidi="ar"/>
        </w:rPr>
        <w:t>企业员工通过人脸识别通行，由企业负责开通系统权限；外来人员需受访企业在线审核或</w:t>
      </w:r>
      <w:r>
        <w:rPr>
          <w:rFonts w:hint="eastAsia" w:ascii="Times New Roman" w:hAnsi="Times New Roman" w:eastAsia="方正仿宋_GBK" w:cs="Times New Roman"/>
          <w:color w:val="000000"/>
          <w:kern w:val="0"/>
          <w:sz w:val="32"/>
          <w:szCs w:val="32"/>
          <w:shd w:val="clear" w:color="auto" w:fill="FFFFFF"/>
          <w:lang w:val="en-US" w:eastAsia="zh-CN" w:bidi="ar"/>
        </w:rPr>
        <w:t>通过</w:t>
      </w:r>
      <w:r>
        <w:rPr>
          <w:rFonts w:hint="default" w:ascii="Times New Roman" w:hAnsi="Times New Roman" w:eastAsia="方正仿宋_GBK" w:cs="Times New Roman"/>
          <w:color w:val="000000"/>
          <w:kern w:val="0"/>
          <w:sz w:val="32"/>
          <w:szCs w:val="32"/>
          <w:shd w:val="clear" w:color="auto" w:fill="FFFFFF"/>
          <w:lang w:val="en-US" w:eastAsia="zh-CN" w:bidi="ar"/>
        </w:rPr>
        <w:t>微信小程序预约，审核通过后入园。</w:t>
      </w:r>
    </w:p>
    <w:p w14:paraId="7B538266">
      <w:pPr>
        <w:keepNext w:val="0"/>
        <w:keepLines w:val="0"/>
        <w:pageBreakBefore w:val="0"/>
        <w:widowControl w:val="0"/>
        <w:kinsoku/>
        <w:wordWrap/>
        <w:overflowPunct/>
        <w:topLinePunct w:val="0"/>
        <w:autoSpaceDE/>
        <w:autoSpaceDN/>
        <w:bidi w:val="0"/>
        <w:adjustRightInd/>
        <w:snapToGrid/>
        <w:spacing w:after="157" w:afterLines="50" w:line="600" w:lineRule="exact"/>
        <w:ind w:firstLine="640" w:firstLineChars="200"/>
        <w:textAlignment w:val="auto"/>
        <w:rPr>
          <w:rFonts w:hint="default" w:ascii="Times New Roman" w:hAnsi="Times New Roman" w:eastAsia="方正仿宋_GBK" w:cs="Times New Roman"/>
          <w:color w:val="000000"/>
          <w:kern w:val="0"/>
          <w:sz w:val="32"/>
          <w:szCs w:val="32"/>
          <w:shd w:val="clear" w:color="auto" w:fill="FFFFFF"/>
          <w:lang w:val="en-US" w:eastAsia="zh-CN" w:bidi="ar"/>
        </w:rPr>
      </w:pPr>
      <w:r>
        <w:rPr>
          <w:rFonts w:hint="default" w:ascii="方正仿宋_GBK" w:hAnsi="方正仿宋_GBK" w:eastAsia="方正仿宋_GBK" w:cs="方正仿宋_GBK"/>
          <w:color w:val="000000"/>
          <w:sz w:val="32"/>
          <w:szCs w:val="32"/>
        </w:rPr>
        <w:t>（</w:t>
      </w:r>
      <w:r>
        <w:rPr>
          <w:rFonts w:hint="default" w:ascii="方正仿宋_GBK" w:hAnsi="方正仿宋_GBK" w:eastAsia="方正仿宋_GBK" w:cs="方正仿宋_GBK"/>
          <w:color w:val="000000"/>
          <w:sz w:val="32"/>
          <w:szCs w:val="32"/>
          <w:lang w:val="en-US" w:eastAsia="zh-CN"/>
        </w:rPr>
        <w:t>三</w:t>
      </w:r>
      <w:r>
        <w:rPr>
          <w:rFonts w:hint="default" w:ascii="方正仿宋_GBK" w:hAnsi="方正仿宋_GBK" w:eastAsia="方正仿宋_GBK" w:cs="方正仿宋_GBK"/>
          <w:color w:val="000000"/>
          <w:sz w:val="32"/>
          <w:szCs w:val="32"/>
        </w:rPr>
        <w:t>）</w:t>
      </w:r>
      <w:r>
        <w:rPr>
          <w:rFonts w:hint="default" w:ascii="Times New Roman" w:hAnsi="Times New Roman" w:eastAsia="方正仿宋_GBK" w:cs="Times New Roman"/>
          <w:color w:val="000000"/>
          <w:kern w:val="0"/>
          <w:sz w:val="32"/>
          <w:szCs w:val="32"/>
          <w:shd w:val="clear" w:color="auto" w:fill="FFFFFF"/>
          <w:lang w:val="en-US" w:eastAsia="zh-CN" w:bidi="ar"/>
        </w:rPr>
        <w:t>普通货运车辆可申请长期通行证（通行期限最长不超过12个月），装卸后应立即驶离，不得随意停放；特种车辆（执法、救援、检查等）免检通行，优先放行。</w:t>
      </w:r>
    </w:p>
    <w:p w14:paraId="2FEAB708">
      <w:pPr>
        <w:keepNext w:val="0"/>
        <w:keepLines w:val="0"/>
        <w:pageBreakBefore w:val="0"/>
        <w:widowControl w:val="0"/>
        <w:kinsoku/>
        <w:wordWrap/>
        <w:overflowPunct/>
        <w:topLinePunct w:val="0"/>
        <w:autoSpaceDE/>
        <w:autoSpaceDN/>
        <w:bidi w:val="0"/>
        <w:adjustRightInd/>
        <w:snapToGrid/>
        <w:spacing w:after="157" w:afterLines="50" w:line="600" w:lineRule="exact"/>
        <w:ind w:firstLine="640" w:firstLineChars="200"/>
        <w:textAlignment w:val="auto"/>
        <w:rPr>
          <w:rFonts w:hint="default" w:ascii="Times New Roman" w:hAnsi="Times New Roman" w:eastAsia="方正仿宋_GBK" w:cs="Times New Roman"/>
          <w:color w:val="000000"/>
          <w:kern w:val="0"/>
          <w:sz w:val="32"/>
          <w:szCs w:val="32"/>
          <w:shd w:val="clear" w:color="auto" w:fill="FFFFFF"/>
          <w:lang w:val="en-US" w:eastAsia="zh-CN" w:bidi="ar"/>
        </w:rPr>
      </w:pPr>
      <w:r>
        <w:rPr>
          <w:rFonts w:hint="default" w:ascii="方正仿宋_GBK" w:hAnsi="方正仿宋_GBK" w:eastAsia="方正仿宋_GBK" w:cs="方正仿宋_GBK"/>
          <w:color w:val="000000"/>
          <w:sz w:val="32"/>
          <w:szCs w:val="32"/>
          <w:lang w:eastAsia="zh-CN"/>
        </w:rPr>
        <w:t>（</w:t>
      </w:r>
      <w:r>
        <w:rPr>
          <w:rFonts w:hint="default" w:ascii="方正仿宋_GBK" w:hAnsi="方正仿宋_GBK" w:eastAsia="方正仿宋_GBK" w:cs="方正仿宋_GBK"/>
          <w:color w:val="000000"/>
          <w:sz w:val="32"/>
          <w:szCs w:val="32"/>
          <w:lang w:val="en-US" w:eastAsia="zh-CN"/>
        </w:rPr>
        <w:t>四</w:t>
      </w:r>
      <w:r>
        <w:rPr>
          <w:rFonts w:hint="default" w:ascii="方正仿宋_GBK" w:hAnsi="方正仿宋_GBK" w:eastAsia="方正仿宋_GBK" w:cs="方正仿宋_GBK"/>
          <w:color w:val="000000"/>
          <w:sz w:val="32"/>
          <w:szCs w:val="32"/>
          <w:lang w:eastAsia="zh-CN"/>
        </w:rPr>
        <w:t>）</w:t>
      </w:r>
      <w:r>
        <w:rPr>
          <w:rFonts w:hint="default" w:ascii="Times New Roman" w:hAnsi="Times New Roman" w:eastAsia="方正仿宋_GBK" w:cs="Times New Roman"/>
          <w:color w:val="000000"/>
          <w:kern w:val="0"/>
          <w:sz w:val="32"/>
          <w:szCs w:val="32"/>
          <w:shd w:val="clear" w:color="auto" w:fill="FFFFFF"/>
          <w:lang w:val="en-US" w:eastAsia="zh-CN" w:bidi="ar"/>
        </w:rPr>
        <w:t>危险化学品运输车辆及驾驶人应具备法律法规规定的相关资质和许可，严禁跑冒滴漏；入园后应按照预约时段完成装卸作业（错过时段需重新申报）；运输期间须沿专用车道限速30公里/小时行驶且全程携带定位终端，装卸完毕后应按原定路线驶离园区并交还定位终端。</w:t>
      </w:r>
    </w:p>
    <w:p w14:paraId="573DABC5">
      <w:pPr>
        <w:keepNext w:val="0"/>
        <w:keepLines w:val="0"/>
        <w:pageBreakBefore w:val="0"/>
        <w:widowControl w:val="0"/>
        <w:kinsoku/>
        <w:wordWrap/>
        <w:overflowPunct/>
        <w:topLinePunct w:val="0"/>
        <w:autoSpaceDE/>
        <w:autoSpaceDN/>
        <w:bidi w:val="0"/>
        <w:adjustRightInd/>
        <w:snapToGrid/>
        <w:spacing w:after="157" w:afterLines="50" w:line="600" w:lineRule="exact"/>
        <w:ind w:firstLine="640" w:firstLineChars="200"/>
        <w:textAlignment w:val="auto"/>
        <w:rPr>
          <w:rFonts w:hint="default" w:ascii="Times New Roman" w:hAnsi="Times New Roman" w:eastAsia="方正仿宋_GBK" w:cs="Times New Roman"/>
          <w:color w:val="000000"/>
          <w:kern w:val="0"/>
          <w:sz w:val="32"/>
          <w:szCs w:val="32"/>
          <w:shd w:val="clear" w:color="auto" w:fill="FFFFFF"/>
          <w:lang w:val="en-US" w:eastAsia="zh-CN" w:bidi="ar"/>
        </w:rPr>
      </w:pPr>
      <w:r>
        <w:rPr>
          <w:rFonts w:hint="default" w:ascii="方正仿宋_GBK" w:hAnsi="方正仿宋_GBK" w:eastAsia="方正仿宋_GBK" w:cs="方正仿宋_GBK"/>
          <w:color w:val="000000"/>
          <w:sz w:val="32"/>
          <w:szCs w:val="32"/>
          <w:lang w:eastAsia="zh-CN"/>
        </w:rPr>
        <w:t>（</w:t>
      </w:r>
      <w:r>
        <w:rPr>
          <w:rFonts w:hint="default" w:ascii="方正仿宋_GBK" w:hAnsi="方正仿宋_GBK" w:eastAsia="方正仿宋_GBK" w:cs="方正仿宋_GBK"/>
          <w:color w:val="000000"/>
          <w:sz w:val="32"/>
          <w:szCs w:val="32"/>
          <w:lang w:val="en-US" w:eastAsia="zh-CN"/>
        </w:rPr>
        <w:t>五</w:t>
      </w:r>
      <w:r>
        <w:rPr>
          <w:rFonts w:hint="default" w:ascii="方正仿宋_GBK" w:hAnsi="方正仿宋_GBK" w:eastAsia="方正仿宋_GBK" w:cs="方正仿宋_GBK"/>
          <w:color w:val="000000"/>
          <w:sz w:val="32"/>
          <w:szCs w:val="32"/>
          <w:lang w:eastAsia="zh-CN"/>
        </w:rPr>
        <w:t>）</w:t>
      </w:r>
      <w:r>
        <w:rPr>
          <w:rFonts w:hint="default" w:ascii="Times New Roman" w:hAnsi="Times New Roman" w:eastAsia="方正仿宋_GBK" w:cs="Times New Roman"/>
          <w:color w:val="000000"/>
          <w:sz w:val="32"/>
          <w:szCs w:val="32"/>
          <w:lang w:val="en-US" w:eastAsia="zh-CN"/>
        </w:rPr>
        <w:t>园区各企业应当配合园区开展封闭化管理工作，确定专人负责涉及本企业车辆、人员预约入园信息的审核、申报、变更工作，协助外来访客办理通行手续</w:t>
      </w:r>
      <w:r>
        <w:rPr>
          <w:rFonts w:hint="default" w:ascii="Times New Roman" w:hAnsi="Times New Roman" w:eastAsia="方正仿宋_GBK" w:cs="Times New Roman"/>
          <w:color w:val="000000"/>
          <w:kern w:val="0"/>
          <w:sz w:val="32"/>
          <w:szCs w:val="32"/>
          <w:shd w:val="clear" w:color="auto" w:fill="FFFFFF"/>
          <w:lang w:val="en-US" w:eastAsia="zh-CN" w:bidi="ar"/>
        </w:rPr>
        <w:t>。</w:t>
      </w:r>
    </w:p>
    <w:p w14:paraId="1D2E6C57">
      <w:pPr>
        <w:keepNext w:val="0"/>
        <w:keepLines w:val="0"/>
        <w:pageBreakBefore w:val="0"/>
        <w:widowControl w:val="0"/>
        <w:numPr>
          <w:ilvl w:val="0"/>
          <w:numId w:val="0"/>
        </w:numPr>
        <w:kinsoku/>
        <w:wordWrap/>
        <w:overflowPunct/>
        <w:topLinePunct w:val="0"/>
        <w:autoSpaceDE/>
        <w:autoSpaceDN/>
        <w:bidi w:val="0"/>
        <w:adjustRightInd/>
        <w:snapToGrid/>
        <w:spacing w:after="157" w:afterLines="50" w:line="600" w:lineRule="exact"/>
        <w:ind w:firstLine="640" w:firstLineChars="200"/>
        <w:textAlignment w:val="auto"/>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四、其他事项</w:t>
      </w:r>
    </w:p>
    <w:p w14:paraId="323984C5">
      <w:pPr>
        <w:keepNext w:val="0"/>
        <w:keepLines w:val="0"/>
        <w:pageBreakBefore w:val="0"/>
        <w:widowControl w:val="0"/>
        <w:kinsoku/>
        <w:wordWrap/>
        <w:overflowPunct/>
        <w:topLinePunct w:val="0"/>
        <w:autoSpaceDE/>
        <w:autoSpaceDN/>
        <w:bidi w:val="0"/>
        <w:adjustRightInd/>
        <w:snapToGrid/>
        <w:spacing w:after="157" w:afterLines="5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shd w:val="clear" w:color="auto" w:fill="FFFFFF"/>
          <w:lang w:val="en-US" w:eastAsia="zh-CN" w:bidi="ar"/>
        </w:rPr>
        <w:t>对影响道路交通安全、恶意堵塞卡口、损毁设施、暴力冲卡、翻越管理边界等违反</w:t>
      </w:r>
      <w:r>
        <w:rPr>
          <w:rFonts w:hint="default" w:ascii="Times New Roman" w:hAnsi="Times New Roman" w:eastAsia="方正仿宋_GBK" w:cs="Times New Roman"/>
          <w:color w:val="000000"/>
          <w:sz w:val="32"/>
          <w:szCs w:val="32"/>
        </w:rPr>
        <w:t>园区封闭</w:t>
      </w:r>
      <w:r>
        <w:rPr>
          <w:rFonts w:hint="default" w:ascii="Times New Roman" w:hAnsi="Times New Roman" w:eastAsia="方正仿宋_GBK" w:cs="Times New Roman"/>
          <w:color w:val="000000"/>
          <w:sz w:val="32"/>
          <w:szCs w:val="32"/>
          <w:lang w:eastAsia="zh-CN"/>
        </w:rPr>
        <w:t>化</w:t>
      </w:r>
      <w:r>
        <w:rPr>
          <w:rFonts w:hint="default" w:ascii="Times New Roman" w:hAnsi="Times New Roman" w:eastAsia="方正仿宋_GBK" w:cs="Times New Roman"/>
          <w:color w:val="000000"/>
          <w:sz w:val="32"/>
          <w:szCs w:val="32"/>
        </w:rPr>
        <w:t>管理规定</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扰乱公共管理秩序</w:t>
      </w:r>
      <w:r>
        <w:rPr>
          <w:rFonts w:hint="default" w:ascii="Times New Roman" w:hAnsi="Times New Roman" w:eastAsia="方正仿宋_GBK" w:cs="Times New Roman"/>
          <w:color w:val="000000"/>
          <w:sz w:val="32"/>
          <w:szCs w:val="32"/>
          <w:lang w:eastAsia="zh-CN"/>
        </w:rPr>
        <w:t>的</w:t>
      </w:r>
      <w:r>
        <w:rPr>
          <w:rFonts w:hint="default" w:ascii="Times New Roman" w:hAnsi="Times New Roman" w:eastAsia="方正仿宋_GBK" w:cs="Times New Roman"/>
          <w:color w:val="000000"/>
          <w:sz w:val="32"/>
          <w:szCs w:val="32"/>
          <w:lang w:val="en-US" w:eastAsia="zh-CN"/>
        </w:rPr>
        <w:t>行为，</w:t>
      </w:r>
      <w:r>
        <w:rPr>
          <w:rFonts w:hint="default" w:ascii="Times New Roman" w:hAnsi="Times New Roman" w:eastAsia="方正仿宋_GBK" w:cs="Times New Roman"/>
          <w:color w:val="000000"/>
          <w:sz w:val="32"/>
          <w:szCs w:val="32"/>
        </w:rPr>
        <w:t>由</w:t>
      </w:r>
      <w:r>
        <w:rPr>
          <w:rFonts w:hint="default" w:ascii="Times New Roman" w:hAnsi="Times New Roman" w:eastAsia="方正仿宋_GBK" w:cs="Times New Roman"/>
          <w:color w:val="000000"/>
          <w:sz w:val="32"/>
          <w:szCs w:val="32"/>
          <w:lang w:val="en-US" w:eastAsia="zh-CN"/>
        </w:rPr>
        <w:t>相关部门</w:t>
      </w:r>
      <w:r>
        <w:rPr>
          <w:rFonts w:hint="default" w:ascii="Times New Roman" w:hAnsi="Times New Roman" w:eastAsia="方正仿宋_GBK" w:cs="Times New Roman"/>
          <w:color w:val="000000"/>
          <w:sz w:val="32"/>
          <w:szCs w:val="32"/>
        </w:rPr>
        <w:t>依照《中华人民共和国治安管理处罚法》《中华人民共和国道路交通安全法》</w:t>
      </w:r>
      <w:r>
        <w:rPr>
          <w:rFonts w:hint="default" w:ascii="Times New Roman" w:hAnsi="Times New Roman" w:eastAsia="方正仿宋_GBK" w:cs="Times New Roman"/>
          <w:color w:val="000000"/>
          <w:sz w:val="32"/>
          <w:szCs w:val="32"/>
          <w:lang w:val="en-US" w:eastAsia="zh-CN"/>
        </w:rPr>
        <w:t>等</w:t>
      </w:r>
      <w:r>
        <w:rPr>
          <w:rFonts w:hint="default" w:ascii="Times New Roman" w:hAnsi="Times New Roman" w:eastAsia="方正仿宋_GBK" w:cs="Times New Roman"/>
          <w:color w:val="000000"/>
          <w:sz w:val="32"/>
          <w:szCs w:val="32"/>
        </w:rPr>
        <w:t>有关</w:t>
      </w:r>
      <w:r>
        <w:rPr>
          <w:rFonts w:hint="default" w:ascii="Times New Roman" w:hAnsi="Times New Roman" w:eastAsia="方正仿宋_GBK" w:cs="Times New Roman"/>
          <w:color w:val="000000"/>
          <w:sz w:val="32"/>
          <w:szCs w:val="32"/>
          <w:lang w:val="en-US" w:eastAsia="zh-CN"/>
        </w:rPr>
        <w:t>法律法规</w:t>
      </w:r>
      <w:r>
        <w:rPr>
          <w:rFonts w:hint="default" w:ascii="Times New Roman" w:hAnsi="Times New Roman" w:eastAsia="方正仿宋_GBK" w:cs="Times New Roman"/>
          <w:color w:val="000000"/>
          <w:sz w:val="32"/>
          <w:szCs w:val="32"/>
        </w:rPr>
        <w:t>处理</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hd w:val="clear" w:color="auto" w:fill="FFFFFF"/>
        </w:rPr>
        <w:t>构成犯罪的，依法追究刑事责任</w:t>
      </w:r>
      <w:r>
        <w:rPr>
          <w:rFonts w:hint="default" w:ascii="Times New Roman" w:hAnsi="Times New Roman" w:eastAsia="方正仿宋_GBK" w:cs="Times New Roman"/>
          <w:color w:val="000000"/>
          <w:sz w:val="32"/>
          <w:szCs w:val="32"/>
        </w:rPr>
        <w:t>。</w:t>
      </w:r>
    </w:p>
    <w:p w14:paraId="12A3B662">
      <w:pPr>
        <w:keepNext w:val="0"/>
        <w:keepLines w:val="0"/>
        <w:pageBreakBefore w:val="0"/>
        <w:widowControl w:val="0"/>
        <w:kinsoku/>
        <w:wordWrap/>
        <w:overflowPunct/>
        <w:topLinePunct w:val="0"/>
        <w:autoSpaceDE/>
        <w:autoSpaceDN/>
        <w:bidi w:val="0"/>
        <w:adjustRightInd/>
        <w:snapToGrid/>
        <w:spacing w:after="157" w:afterLines="50" w:line="60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特此公告。</w:t>
      </w:r>
    </w:p>
    <w:p w14:paraId="683FCDB6">
      <w:pPr>
        <w:pStyle w:val="2"/>
        <w:keepNext w:val="0"/>
        <w:keepLines w:val="0"/>
        <w:pageBreakBefore w:val="0"/>
        <w:widowControl w:val="0"/>
        <w:kinsoku/>
        <w:wordWrap/>
        <w:overflowPunct/>
        <w:topLinePunct w:val="0"/>
        <w:autoSpaceDE/>
        <w:autoSpaceDN/>
        <w:bidi w:val="0"/>
        <w:adjustRightInd/>
        <w:snapToGrid/>
        <w:spacing w:before="0" w:after="157" w:afterLines="50" w:line="600" w:lineRule="exact"/>
        <w:ind w:left="0" w:leftChars="0" w:firstLine="0" w:firstLineChars="0"/>
        <w:textAlignment w:val="auto"/>
        <w:rPr>
          <w:rFonts w:hint="default"/>
        </w:rPr>
      </w:pPr>
    </w:p>
    <w:p w14:paraId="58536AE3">
      <w:pPr>
        <w:pStyle w:val="12"/>
        <w:keepNext w:val="0"/>
        <w:keepLines w:val="0"/>
        <w:pageBreakBefore w:val="0"/>
        <w:widowControl w:val="0"/>
        <w:kinsoku/>
        <w:wordWrap/>
        <w:overflowPunct/>
        <w:topLinePunct w:val="0"/>
        <w:autoSpaceDE/>
        <w:autoSpaceDN/>
        <w:bidi w:val="0"/>
        <w:adjustRightInd/>
        <w:snapToGrid/>
        <w:spacing w:after="157" w:afterLines="50" w:line="600" w:lineRule="exact"/>
        <w:textAlignment w:val="auto"/>
        <w:rPr>
          <w:rFonts w:hint="default" w:ascii="方正仿宋_GBK" w:hAnsi="方正仿宋_GBK" w:eastAsia="方正仿宋_GBK" w:cs="方正仿宋_GBK"/>
          <w:color w:val="000000"/>
          <w:sz w:val="32"/>
          <w:szCs w:val="32"/>
          <w:lang w:val="en-US" w:eastAsia="zh-CN"/>
        </w:rPr>
      </w:pPr>
      <w:r>
        <w:rPr>
          <w:rFonts w:hint="default" w:ascii="Times New Roman" w:hAnsi="Times New Roman" w:eastAsia="仿宋" w:cs="Times New Roman"/>
          <w:color w:val="000000"/>
          <w:sz w:val="32"/>
          <w:szCs w:val="32"/>
          <w:lang w:val="en-US" w:eastAsia="zh-CN"/>
        </w:rPr>
        <w:t xml:space="preserve">                        </w:t>
      </w:r>
      <w:r>
        <w:rPr>
          <w:rFonts w:hint="eastAsia"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lang w:val="en-US" w:eastAsia="zh-CN"/>
        </w:rPr>
        <w:t xml:space="preserve">   </w:t>
      </w:r>
      <w:r>
        <w:rPr>
          <w:rFonts w:hint="eastAsia" w:ascii="Times New Roman" w:hAnsi="Times New Roman" w:eastAsia="仿宋" w:cs="Times New Roman"/>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 xml:space="preserve">重庆市南川区人民政府 </w:t>
      </w:r>
    </w:p>
    <w:p w14:paraId="3112B802">
      <w:pPr>
        <w:pStyle w:val="12"/>
        <w:keepNext w:val="0"/>
        <w:keepLines w:val="0"/>
        <w:pageBreakBefore w:val="0"/>
        <w:widowControl w:val="0"/>
        <w:tabs>
          <w:tab w:val="left" w:pos="7560"/>
        </w:tabs>
        <w:kinsoku/>
        <w:wordWrap/>
        <w:overflowPunct/>
        <w:topLinePunct w:val="0"/>
        <w:autoSpaceDE/>
        <w:autoSpaceDN/>
        <w:bidi w:val="0"/>
        <w:adjustRightInd/>
        <w:snapToGrid/>
        <w:spacing w:after="157" w:afterLines="50" w:line="600" w:lineRule="exact"/>
        <w:ind w:firstLine="5760" w:firstLineChars="1800"/>
        <w:textAlignment w:val="auto"/>
        <w:rPr>
          <w:rFonts w:hint="default" w:ascii="Times New Roman" w:hAnsi="Times New Roman" w:cs="Times New Roman"/>
          <w:color w:val="000000"/>
          <w:lang w:val="en-US"/>
        </w:rPr>
      </w:pPr>
      <w:bookmarkStart w:id="0" w:name="_GoBack"/>
      <w:bookmarkEnd w:id="0"/>
      <w:r>
        <w:rPr>
          <w:rFonts w:hint="default" w:ascii="Times New Roman" w:hAnsi="Times New Roman" w:eastAsia="仿宋" w:cs="Times New Roman"/>
          <w:color w:val="000000"/>
          <w:sz w:val="32"/>
          <w:szCs w:val="32"/>
          <w:lang w:val="en-US" w:eastAsia="zh-CN"/>
        </w:rPr>
        <w:t>2025年4月</w:t>
      </w:r>
      <w:r>
        <w:rPr>
          <w:rFonts w:hint="eastAsia" w:ascii="Times New Roman" w:hAnsi="Times New Roman" w:eastAsia="仿宋" w:cs="Times New Roman"/>
          <w:color w:val="000000"/>
          <w:sz w:val="32"/>
          <w:szCs w:val="32"/>
          <w:lang w:val="en-US" w:eastAsia="zh-CN"/>
        </w:rPr>
        <w:t>21</w:t>
      </w:r>
      <w:r>
        <w:rPr>
          <w:rFonts w:hint="default" w:ascii="Times New Roman" w:hAnsi="Times New Roman" w:eastAsia="仿宋" w:cs="Times New Roman"/>
          <w:color w:val="000000"/>
          <w:sz w:val="32"/>
          <w:szCs w:val="32"/>
          <w:lang w:val="en-US" w:eastAsia="zh-CN"/>
        </w:rPr>
        <w:t>日</w:t>
      </w:r>
      <w:r>
        <w:rPr>
          <w:rFonts w:hint="eastAsia" w:ascii="Times New Roman" w:hAnsi="Times New Roman" w:eastAsia="仿宋" w:cs="Times New Roman"/>
          <w:color w:val="000000"/>
          <w:sz w:val="32"/>
          <w:szCs w:val="32"/>
          <w:lang w:val="en-US" w:eastAsia="zh-CN"/>
        </w:rPr>
        <w:t xml:space="preserve"> </w:t>
      </w:r>
    </w:p>
    <w:p w14:paraId="5425AF34">
      <w:pPr>
        <w:pStyle w:val="12"/>
        <w:keepNext w:val="0"/>
        <w:keepLines w:val="0"/>
        <w:pageBreakBefore w:val="0"/>
        <w:widowControl w:val="0"/>
        <w:kinsoku/>
        <w:wordWrap/>
        <w:overflowPunct/>
        <w:topLinePunct w:val="0"/>
        <w:autoSpaceDE/>
        <w:autoSpaceDN/>
        <w:bidi w:val="0"/>
        <w:adjustRightInd/>
        <w:snapToGrid/>
        <w:spacing w:after="157" w:afterLines="50" w:line="600" w:lineRule="exac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（此件公开发布）</w:t>
      </w:r>
    </w:p>
    <w:p w14:paraId="77DEE675">
      <w:pPr>
        <w:pStyle w:val="12"/>
        <w:keepNext w:val="0"/>
        <w:keepLines w:val="0"/>
        <w:pageBreakBefore w:val="0"/>
        <w:widowControl w:val="0"/>
        <w:kinsoku/>
        <w:wordWrap/>
        <w:overflowPunct/>
        <w:topLinePunct w:val="0"/>
        <w:autoSpaceDE/>
        <w:autoSpaceDN/>
        <w:bidi w:val="0"/>
        <w:adjustRightInd/>
        <w:snapToGrid/>
        <w:spacing w:before="157" w:beforeLines="50" w:line="600" w:lineRule="exact"/>
        <w:textAlignment w:val="auto"/>
        <w:rPr>
          <w:rFonts w:hint="eastAsia" w:ascii="方正仿宋_GBK" w:hAnsi="方正仿宋_GBK" w:eastAsia="方正仿宋_GBK" w:cs="方正仿宋_GBK"/>
          <w:color w:val="000000"/>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CA2F4">
    <w:pPr>
      <w:pStyle w:val="1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E4562">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22E4562">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83E6F83">
    <w:pPr>
      <w:pStyle w:val="1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14:paraId="4A0356EC">
    <w:pPr>
      <w:pStyle w:val="1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D6438">
    <w:pPr>
      <w:pStyle w:val="1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0D294D15">
    <w:pPr>
      <w:pStyle w:val="1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2ZiZTcxNDE3YmQ4MTFjMDU3MzA0ZTNlYTUxNzcifQ=="/>
  </w:docVars>
  <w:rsids>
    <w:rsidRoot w:val="00172A27"/>
    <w:rsid w:val="00217B43"/>
    <w:rsid w:val="019E71BD"/>
    <w:rsid w:val="01C65124"/>
    <w:rsid w:val="041C42DA"/>
    <w:rsid w:val="04B679C3"/>
    <w:rsid w:val="05F07036"/>
    <w:rsid w:val="06E00104"/>
    <w:rsid w:val="080F63D8"/>
    <w:rsid w:val="09341458"/>
    <w:rsid w:val="0952512D"/>
    <w:rsid w:val="098254C2"/>
    <w:rsid w:val="09D97B51"/>
    <w:rsid w:val="0A766EDE"/>
    <w:rsid w:val="0AD64BE8"/>
    <w:rsid w:val="0B0912D7"/>
    <w:rsid w:val="0E025194"/>
    <w:rsid w:val="0FF352A0"/>
    <w:rsid w:val="152D2DCA"/>
    <w:rsid w:val="169C0EB1"/>
    <w:rsid w:val="174256B5"/>
    <w:rsid w:val="187168EA"/>
    <w:rsid w:val="196673CA"/>
    <w:rsid w:val="19DF28F5"/>
    <w:rsid w:val="1B2F4AEE"/>
    <w:rsid w:val="1BE310EB"/>
    <w:rsid w:val="1CF734C9"/>
    <w:rsid w:val="1DEC284C"/>
    <w:rsid w:val="1E6523AC"/>
    <w:rsid w:val="22440422"/>
    <w:rsid w:val="22BB4BBB"/>
    <w:rsid w:val="272E5669"/>
    <w:rsid w:val="29804371"/>
    <w:rsid w:val="2A1B3F79"/>
    <w:rsid w:val="2AEB3417"/>
    <w:rsid w:val="2B645818"/>
    <w:rsid w:val="31A15F24"/>
    <w:rsid w:val="31AA3159"/>
    <w:rsid w:val="324A1681"/>
    <w:rsid w:val="36314CDF"/>
    <w:rsid w:val="36FB1DF0"/>
    <w:rsid w:val="37D97A34"/>
    <w:rsid w:val="395347B5"/>
    <w:rsid w:val="39A232A0"/>
    <w:rsid w:val="39E745AA"/>
    <w:rsid w:val="3B5A6BBB"/>
    <w:rsid w:val="3C6E0D64"/>
    <w:rsid w:val="3EDA13A6"/>
    <w:rsid w:val="417B75E9"/>
    <w:rsid w:val="42F058B7"/>
    <w:rsid w:val="436109F6"/>
    <w:rsid w:val="441A38D4"/>
    <w:rsid w:val="44FA350F"/>
    <w:rsid w:val="4504239D"/>
    <w:rsid w:val="4BC77339"/>
    <w:rsid w:val="4C9236C5"/>
    <w:rsid w:val="4E250A85"/>
    <w:rsid w:val="4FFD4925"/>
    <w:rsid w:val="505C172E"/>
    <w:rsid w:val="506405EA"/>
    <w:rsid w:val="52F46F0B"/>
    <w:rsid w:val="532B6A10"/>
    <w:rsid w:val="53D8014D"/>
    <w:rsid w:val="55E064E0"/>
    <w:rsid w:val="571D6CF2"/>
    <w:rsid w:val="572C6D10"/>
    <w:rsid w:val="5DC34279"/>
    <w:rsid w:val="5F534FCD"/>
    <w:rsid w:val="5FCD688E"/>
    <w:rsid w:val="5FF9BDAA"/>
    <w:rsid w:val="5FFE5333"/>
    <w:rsid w:val="608816D1"/>
    <w:rsid w:val="60EF4E7F"/>
    <w:rsid w:val="639D5821"/>
    <w:rsid w:val="648B0A32"/>
    <w:rsid w:val="665233C1"/>
    <w:rsid w:val="6693003E"/>
    <w:rsid w:val="68BA4F1D"/>
    <w:rsid w:val="6941720B"/>
    <w:rsid w:val="69AC0D42"/>
    <w:rsid w:val="6AD9688B"/>
    <w:rsid w:val="6D0E3F22"/>
    <w:rsid w:val="70352268"/>
    <w:rsid w:val="71032C88"/>
    <w:rsid w:val="744E4660"/>
    <w:rsid w:val="74C07185"/>
    <w:rsid w:val="753355A2"/>
    <w:rsid w:val="759F1C61"/>
    <w:rsid w:val="769F2DE8"/>
    <w:rsid w:val="76FDEB7C"/>
    <w:rsid w:val="795D728C"/>
    <w:rsid w:val="79C65162"/>
    <w:rsid w:val="7C9011D9"/>
    <w:rsid w:val="7DC651C5"/>
    <w:rsid w:val="7DF350ED"/>
    <w:rsid w:val="7E7D28B6"/>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0"/>
    <w:pPr>
      <w:keepNext/>
      <w:keepLines/>
      <w:spacing w:beforeLines="0" w:beforeAutospacing="0" w:afterLines="0" w:afterAutospacing="0" w:line="540" w:lineRule="exact"/>
      <w:ind w:left="640" w:leftChars="200"/>
      <w:outlineLvl w:val="1"/>
    </w:pPr>
    <w:rPr>
      <w:rFonts w:ascii="Arial" w:hAnsi="Arial" w:eastAsia="方正黑体_GBK" w:cs="Times New Roman"/>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1">
    <w:name w:val="Default Paragraph Font"/>
    <w:autoRedefine/>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hint="eastAsia"/>
    </w:rPr>
  </w:style>
  <w:style w:type="paragraph" w:styleId="3">
    <w:name w:val="Body Text"/>
    <w:basedOn w:val="1"/>
    <w:next w:val="1"/>
    <w:link w:val="33"/>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48"/>
      <w:szCs w:val="24"/>
      <w:lang w:val="en-US" w:eastAsia="zh-CN" w:bidi="ar"/>
    </w:rPr>
  </w:style>
  <w:style w:type="paragraph" w:styleId="7">
    <w:name w:val="Normal Indent"/>
    <w:basedOn w:val="1"/>
    <w:qFormat/>
    <w:uiPriority w:val="0"/>
    <w:pPr>
      <w:widowControl w:val="0"/>
      <w:ind w:firstLine="200" w:firstLineChars="200"/>
      <w:jc w:val="both"/>
    </w:pPr>
    <w:rPr>
      <w:rFonts w:ascii="Times New Roman" w:hAnsi="Times New Roman"/>
      <w:sz w:val="32"/>
      <w:szCs w:val="32"/>
    </w:rPr>
  </w:style>
  <w:style w:type="paragraph" w:styleId="8">
    <w:name w:val="annotation text"/>
    <w:basedOn w:val="1"/>
    <w:qFormat/>
    <w:uiPriority w:val="0"/>
    <w:pPr>
      <w:jc w:val="left"/>
    </w:pPr>
  </w:style>
  <w:style w:type="paragraph" w:styleId="9">
    <w:name w:val="Body Text Indent"/>
    <w:basedOn w:val="1"/>
    <w:qFormat/>
    <w:uiPriority w:val="0"/>
    <w:pPr>
      <w:spacing w:line="360" w:lineRule="atLeast"/>
      <w:ind w:firstLine="555"/>
    </w:pPr>
    <w:rPr>
      <w:rFonts w:ascii="Verdana" w:hAnsi="Verdana"/>
    </w:rPr>
  </w:style>
  <w:style w:type="paragraph" w:styleId="10">
    <w:name w:val="HTML Address"/>
    <w:basedOn w:val="1"/>
    <w:qFormat/>
    <w:uiPriority w:val="0"/>
    <w:pPr>
      <w:widowControl/>
      <w:spacing w:before="100" w:beforeAutospacing="1" w:after="100" w:afterAutospacing="1"/>
      <w:jc w:val="left"/>
    </w:pPr>
    <w:rPr>
      <w:rFonts w:ascii="宋体" w:hAnsi="宋体" w:cs="宋体"/>
      <w:kern w:val="0"/>
      <w:sz w:val="24"/>
    </w:rPr>
  </w:style>
  <w:style w:type="paragraph" w:styleId="11">
    <w:name w:val="toc 5"/>
    <w:basedOn w:val="1"/>
    <w:next w:val="1"/>
    <w:qFormat/>
    <w:uiPriority w:val="0"/>
    <w:pPr>
      <w:ind w:left="1680" w:leftChars="800"/>
    </w:pPr>
  </w:style>
  <w:style w:type="paragraph" w:styleId="12">
    <w:name w:val="Plain Text"/>
    <w:basedOn w:val="1"/>
    <w:qFormat/>
    <w:uiPriority w:val="0"/>
    <w:rPr>
      <w:rFonts w:ascii="宋体" w:hAnsi="Courier New" w:cs="Courier New"/>
      <w:szCs w:val="21"/>
    </w:rPr>
  </w:style>
  <w:style w:type="paragraph" w:styleId="13">
    <w:name w:val="footer"/>
    <w:basedOn w:val="1"/>
    <w:next w:val="14"/>
    <w:link w:val="30"/>
    <w:autoRedefine/>
    <w:qFormat/>
    <w:uiPriority w:val="0"/>
    <w:pPr>
      <w:tabs>
        <w:tab w:val="center" w:pos="4153"/>
        <w:tab w:val="right" w:pos="8306"/>
      </w:tabs>
      <w:snapToGrid w:val="0"/>
      <w:jc w:val="left"/>
    </w:pPr>
    <w:rPr>
      <w:sz w:val="18"/>
    </w:rPr>
  </w:style>
  <w:style w:type="paragraph" w:customStyle="1" w:styleId="14">
    <w:name w:val="索引 51"/>
    <w:basedOn w:val="1"/>
    <w:next w:val="1"/>
    <w:qFormat/>
    <w:uiPriority w:val="0"/>
    <w:pPr>
      <w:ind w:left="1680"/>
    </w:pPr>
  </w:style>
  <w:style w:type="paragraph" w:styleId="15">
    <w:name w:val="header"/>
    <w:basedOn w:val="1"/>
    <w:link w:val="3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Body Text 2"/>
    <w:basedOn w:val="1"/>
    <w:qFormat/>
    <w:uiPriority w:val="0"/>
    <w:pPr>
      <w:snapToGrid w:val="0"/>
      <w:spacing w:line="540" w:lineRule="exact"/>
    </w:pPr>
    <w:rPr>
      <w:rFonts w:eastAsia="方正仿宋_GBK"/>
      <w:color w:val="000000"/>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9">
    <w:name w:val="Body Text First Indent 2"/>
    <w:basedOn w:val="9"/>
    <w:next w:val="1"/>
    <w:qFormat/>
    <w:uiPriority w:val="0"/>
    <w:pPr>
      <w:ind w:firstLine="420" w:firstLineChars="200"/>
    </w:pPr>
    <w:rPr>
      <w:rFonts w:ascii="Times New Roman" w:hAnsi="Times New Roman" w:eastAsia="方正仿宋_GBK" w:cs="Times New Roman"/>
      <w:sz w:val="32"/>
      <w:szCs w:val="32"/>
    </w:rPr>
  </w:style>
  <w:style w:type="character" w:styleId="22">
    <w:name w:val="Strong"/>
    <w:basedOn w:val="21"/>
    <w:autoRedefine/>
    <w:qFormat/>
    <w:uiPriority w:val="0"/>
    <w:rPr>
      <w:b/>
      <w:bCs/>
    </w:rPr>
  </w:style>
  <w:style w:type="character" w:styleId="23">
    <w:name w:val="FollowedHyperlink"/>
    <w:basedOn w:val="21"/>
    <w:autoRedefine/>
    <w:qFormat/>
    <w:uiPriority w:val="0"/>
    <w:rPr>
      <w:color w:val="800080"/>
      <w:u w:val="single"/>
    </w:rPr>
  </w:style>
  <w:style w:type="character" w:styleId="24">
    <w:name w:val="Hyperlink"/>
    <w:basedOn w:val="21"/>
    <w:qFormat/>
    <w:uiPriority w:val="0"/>
    <w:rPr>
      <w:color w:val="0000FF"/>
      <w:u w:val="single"/>
    </w:rPr>
  </w:style>
  <w:style w:type="paragraph" w:customStyle="1" w:styleId="25">
    <w:name w:val="正文文本 21"/>
    <w:basedOn w:val="1"/>
    <w:autoRedefine/>
    <w:qFormat/>
    <w:uiPriority w:val="0"/>
    <w:pPr>
      <w:snapToGrid w:val="0"/>
      <w:spacing w:line="540" w:lineRule="exact"/>
    </w:pPr>
    <w:rPr>
      <w:rFonts w:eastAsia="方正仿宋_GBK"/>
      <w:color w:val="000000"/>
    </w:rPr>
  </w:style>
  <w:style w:type="paragraph" w:customStyle="1" w:styleId="26">
    <w:name w:val="Body Text 21"/>
    <w:basedOn w:val="1"/>
    <w:qFormat/>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21"/>
      <w:szCs w:val="24"/>
      <w:lang w:val="en-US" w:eastAsia="zh-CN" w:bidi="ar"/>
    </w:rPr>
  </w:style>
  <w:style w:type="paragraph" w:customStyle="1" w:styleId="27">
    <w:name w:val="p0"/>
    <w:basedOn w:val="1"/>
    <w:autoRedefine/>
    <w:qFormat/>
    <w:uiPriority w:val="0"/>
    <w:pPr>
      <w:widowControl/>
    </w:pPr>
    <w:rPr>
      <w:rFonts w:ascii="Calibri" w:hAnsi="Calibri" w:eastAsia="宋体" w:cs="宋体"/>
      <w:kern w:val="0"/>
      <w:szCs w:val="32"/>
    </w:rPr>
  </w:style>
  <w:style w:type="character" w:customStyle="1" w:styleId="28">
    <w:name w:val="页眉 Char"/>
    <w:basedOn w:val="21"/>
    <w:link w:val="15"/>
    <w:autoRedefine/>
    <w:qFormat/>
    <w:uiPriority w:val="0"/>
    <w:rPr>
      <w:rFonts w:hint="eastAsia" w:ascii="仿宋_GB2312" w:eastAsia="仿宋_GB2312" w:cs="仿宋_GB2312"/>
      <w:kern w:val="2"/>
      <w:sz w:val="18"/>
      <w:szCs w:val="24"/>
    </w:rPr>
  </w:style>
  <w:style w:type="character" w:customStyle="1" w:styleId="29">
    <w:name w:val="正文文本 2 Char"/>
    <w:basedOn w:val="21"/>
    <w:autoRedefine/>
    <w:qFormat/>
    <w:uiPriority w:val="0"/>
    <w:rPr>
      <w:rFonts w:hint="eastAsia" w:ascii="仿宋_GB2312" w:eastAsia="仿宋_GB2312" w:cs="仿宋_GB2312"/>
      <w:kern w:val="2"/>
      <w:sz w:val="32"/>
      <w:szCs w:val="24"/>
    </w:rPr>
  </w:style>
  <w:style w:type="character" w:customStyle="1" w:styleId="30">
    <w:name w:val="页脚 Char"/>
    <w:basedOn w:val="21"/>
    <w:link w:val="13"/>
    <w:qFormat/>
    <w:uiPriority w:val="0"/>
    <w:rPr>
      <w:rFonts w:hint="eastAsia" w:ascii="仿宋_GB2312" w:eastAsia="仿宋_GB2312" w:cs="仿宋_GB2312"/>
      <w:kern w:val="2"/>
      <w:sz w:val="18"/>
      <w:szCs w:val="24"/>
    </w:rPr>
  </w:style>
  <w:style w:type="character" w:customStyle="1" w:styleId="31">
    <w:name w:val="font21"/>
    <w:basedOn w:val="21"/>
    <w:autoRedefine/>
    <w:qFormat/>
    <w:uiPriority w:val="0"/>
    <w:rPr>
      <w:rFonts w:hint="eastAsia" w:ascii="方正仿宋_GBK" w:hAnsi="方正仿宋_GBK" w:eastAsia="方正仿宋_GBK" w:cs="方正仿宋_GBK"/>
      <w:color w:val="000000"/>
      <w:sz w:val="20"/>
      <w:szCs w:val="20"/>
      <w:u w:val="none"/>
    </w:rPr>
  </w:style>
  <w:style w:type="character" w:customStyle="1" w:styleId="32">
    <w:name w:val="p0 Char Char"/>
    <w:basedOn w:val="21"/>
    <w:autoRedefine/>
    <w:qFormat/>
    <w:uiPriority w:val="0"/>
    <w:rPr>
      <w:sz w:val="21"/>
      <w:szCs w:val="21"/>
    </w:rPr>
  </w:style>
  <w:style w:type="character" w:customStyle="1" w:styleId="33">
    <w:name w:val="正文文本 Char"/>
    <w:basedOn w:val="21"/>
    <w:link w:val="3"/>
    <w:autoRedefine/>
    <w:qFormat/>
    <w:uiPriority w:val="0"/>
    <w:rPr>
      <w:rFonts w:hint="default" w:ascii="Calibri" w:hAnsi="Calibri" w:cs="Calibri"/>
      <w:kern w:val="2"/>
      <w:sz w:val="48"/>
      <w:szCs w:val="24"/>
    </w:rPr>
  </w:style>
  <w:style w:type="character" w:customStyle="1" w:styleId="34">
    <w:name w:val="page number"/>
    <w:basedOn w:val="21"/>
    <w:autoRedefine/>
    <w:qFormat/>
    <w:uiPriority w:val="0"/>
  </w:style>
  <w:style w:type="paragraph" w:customStyle="1" w:styleId="35">
    <w:name w:val="Default"/>
    <w:basedOn w:val="1"/>
    <w:autoRedefine/>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仿宋_GB2312" w:hAnsi="Calibri" w:eastAsia="仿宋_GB2312" w:cs="仿宋_GB2312"/>
      <w:color w:val="000000"/>
      <w:kern w:val="0"/>
      <w:sz w:val="24"/>
      <w:szCs w:val="24"/>
      <w:lang w:val="en-US" w:eastAsia="zh-CN" w:bidi="ar"/>
    </w:rPr>
  </w:style>
  <w:style w:type="character" w:customStyle="1" w:styleId="36">
    <w:name w:val="页眉 Char1"/>
    <w:basedOn w:val="21"/>
    <w:link w:val="15"/>
    <w:autoRedefine/>
    <w:qFormat/>
    <w:uiPriority w:val="0"/>
    <w:rPr>
      <w:rFonts w:hint="eastAsia" w:ascii="仿宋_GB2312" w:eastAsia="仿宋_GB2312" w:cs="仿宋_GB2312"/>
      <w:kern w:val="2"/>
      <w:sz w:val="18"/>
      <w:szCs w:val="18"/>
    </w:rPr>
  </w:style>
  <w:style w:type="paragraph" w:customStyle="1" w:styleId="37">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_GB2312" w:cs="Times New Roman"/>
      <w:kern w:val="2"/>
      <w:sz w:val="32"/>
      <w:szCs w:val="24"/>
      <w:lang w:val="en-US" w:eastAsia="zh-CN" w:bidi="ar"/>
    </w:rPr>
  </w:style>
  <w:style w:type="paragraph" w:customStyle="1" w:styleId="38">
    <w:name w:val="Normal (Web)"/>
    <w:basedOn w:val="1"/>
    <w:qFormat/>
    <w:uiPriority w:val="0"/>
    <w:pPr>
      <w:widowControl/>
      <w:spacing w:beforeAutospacing="1" w:afterAutospacing="1"/>
      <w:jc w:val="left"/>
    </w:pPr>
    <w:rPr>
      <w:rFonts w:ascii="宋体" w:hAnsi="宋体" w:eastAsia="宋体" w:cs="宋体"/>
      <w:kern w:val="0"/>
      <w:sz w:val="24"/>
    </w:rPr>
  </w:style>
  <w:style w:type="paragraph" w:customStyle="1" w:styleId="39">
    <w:name w:val="Body text|4"/>
    <w:basedOn w:val="1"/>
    <w:autoRedefine/>
    <w:qFormat/>
    <w:uiPriority w:val="0"/>
    <w:pPr>
      <w:shd w:val="clear" w:color="auto" w:fill="FFFFFF"/>
      <w:spacing w:after="700" w:line="571" w:lineRule="exact"/>
      <w:jc w:val="center"/>
    </w:pPr>
    <w:rPr>
      <w:rFonts w:ascii="PMingLiU" w:hAnsi="PMingLiU" w:eastAsia="PMingLiU" w:cs="PMingLiU"/>
      <w:sz w:val="34"/>
      <w:szCs w:val="3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1708</Words>
  <Characters>1781</Characters>
  <Lines>1</Lines>
  <Paragraphs>1</Paragraphs>
  <TotalTime>10</TotalTime>
  <ScaleCrop>false</ScaleCrop>
  <LinksUpToDate>false</LinksUpToDate>
  <CharactersWithSpaces>1824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2025-05-07T09:11:28Z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18EFFA3CF4624B9E95F28D49FF38CB8D_13</vt:lpwstr>
  </property>
  <property fmtid="{D5CDD505-2E9C-101B-9397-08002B2CF9AE}" pid="4" name="KSOTemplateDocerSaveRecord">
    <vt:lpwstr>eyJoZGlkIjoiNTRjM2ZiZTcxNDE3YmQ4MTFjMDU3MzA0ZTNlYTUxNzcifQ==</vt:lpwstr>
  </property>
</Properties>
</file>