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71DCDD91">
      <w:pPr>
        <w:pStyle w:val="22"/>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53CC18A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重庆市南川区人民政府办公室</w:t>
      </w:r>
    </w:p>
    <w:p w14:paraId="52D5733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关于印发南川区激励科技创新若干政策的</w:t>
      </w:r>
    </w:p>
    <w:p w14:paraId="18B6D6F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通</w:t>
      </w:r>
      <w:r>
        <w:rPr>
          <w:rFonts w:hint="eastAsia" w:ascii="Times New Roman" w:hAnsi="Times New Roman" w:eastAsia="方正小标宋_GBK" w:cs="Times New Roman"/>
          <w:b w:val="0"/>
          <w:bCs/>
          <w:kern w:val="0"/>
          <w:sz w:val="44"/>
          <w:szCs w:val="44"/>
          <w:lang w:val="en-US" w:eastAsia="zh-CN"/>
        </w:rPr>
        <w:t xml:space="preserve">  </w:t>
      </w:r>
      <w:r>
        <w:rPr>
          <w:rFonts w:hint="default" w:ascii="Times New Roman" w:hAnsi="Times New Roman" w:eastAsia="方正小标宋_GBK" w:cs="Times New Roman"/>
          <w:b w:val="0"/>
          <w:bCs/>
          <w:kern w:val="0"/>
          <w:sz w:val="44"/>
          <w:szCs w:val="44"/>
        </w:rPr>
        <w:t>知</w:t>
      </w:r>
    </w:p>
    <w:p w14:paraId="26B57879">
      <w:pPr>
        <w:keepNext w:val="0"/>
        <w:keepLines w:val="0"/>
        <w:pageBreakBefore w:val="0"/>
        <w:widowControl w:val="0"/>
        <w:kinsoku/>
        <w:wordWrap/>
        <w:overflowPunct/>
        <w:topLinePunct w:val="0"/>
        <w:autoSpaceDE/>
        <w:autoSpaceDN/>
        <w:bidi w:val="0"/>
        <w:adjustRightInd/>
        <w:spacing w:line="560" w:lineRule="exact"/>
        <w:ind w:left="0" w:leftChars="0" w:right="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南川府办</w:t>
      </w:r>
      <w:r>
        <w:rPr>
          <w:rFonts w:hint="eastAsia" w:ascii="Times New Roman" w:hAnsi="Times New Roman" w:eastAsia="方正仿宋_GBK" w:cs="Times New Roman"/>
          <w:b w:val="0"/>
          <w:bCs w:val="0"/>
          <w:sz w:val="32"/>
          <w:szCs w:val="32"/>
          <w:lang w:val="en-US" w:eastAsia="zh-CN"/>
        </w:rPr>
        <w:t>发</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2024</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23</w:t>
      </w:r>
      <w:r>
        <w:rPr>
          <w:rFonts w:hint="default" w:ascii="Times New Roman" w:hAnsi="Times New Roman" w:eastAsia="方正仿宋_GBK" w:cs="Times New Roman"/>
          <w:b w:val="0"/>
          <w:bCs w:val="0"/>
          <w:sz w:val="32"/>
          <w:szCs w:val="32"/>
        </w:rPr>
        <w:t>号</w:t>
      </w:r>
    </w:p>
    <w:p w14:paraId="75F58BE3">
      <w:pPr>
        <w:pStyle w:val="2"/>
        <w:rPr>
          <w:rFonts w:hint="default"/>
        </w:rPr>
      </w:pPr>
    </w:p>
    <w:p w14:paraId="1DA53147">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p>
    <w:p w14:paraId="7E752C63">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经区政府同意，现将《南川区激励科技创新若干政策》印发你们，请认真贯彻执行。</w:t>
      </w:r>
    </w:p>
    <w:p w14:paraId="4498A403">
      <w:pPr>
        <w:pStyle w:val="13"/>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eastAsia" w:ascii="方正仿宋_GBK" w:hAnsi="方正仿宋_GBK" w:eastAsia="方正仿宋_GBK" w:cs="方正仿宋_GBK"/>
        </w:rPr>
      </w:pPr>
    </w:p>
    <w:p w14:paraId="41BCBB1A">
      <w:pPr>
        <w:pStyle w:val="13"/>
        <w:keepNext w:val="0"/>
        <w:keepLines w:val="0"/>
        <w:pageBreakBefore w:val="0"/>
        <w:widowControl w:val="0"/>
        <w:kinsoku/>
        <w:wordWrap/>
        <w:overflowPunct/>
        <w:topLinePunct w:val="0"/>
        <w:autoSpaceDE/>
        <w:autoSpaceDN/>
        <w:bidi w:val="0"/>
        <w:adjustRightInd/>
        <w:spacing w:line="600" w:lineRule="exact"/>
        <w:ind w:left="0" w:leftChars="0" w:right="0"/>
        <w:jc w:val="center"/>
        <w:textAlignment w:val="auto"/>
        <w:outlineLvl w:val="9"/>
        <w:rPr>
          <w:rFonts w:hint="eastAsia" w:ascii="方正楷体_GBK" w:hAnsi="方正楷体_GBK" w:eastAsia="方正楷体_GBK" w:cs="方正楷体_GBK"/>
          <w:sz w:val="32"/>
          <w:szCs w:val="32"/>
        </w:rPr>
      </w:pPr>
    </w:p>
    <w:p w14:paraId="09A300F7">
      <w:pPr>
        <w:keepNext w:val="0"/>
        <w:keepLines w:val="0"/>
        <w:pageBreakBefore w:val="0"/>
        <w:widowControl w:val="0"/>
        <w:tabs>
          <w:tab w:val="left" w:pos="958"/>
        </w:tabs>
        <w:kinsoku/>
        <w:wordWrap w:val="0"/>
        <w:overflowPunct/>
        <w:topLinePunct w:val="0"/>
        <w:autoSpaceDE/>
        <w:autoSpaceDN/>
        <w:bidi w:val="0"/>
        <w:adjustRightInd/>
        <w:snapToGrid/>
        <w:spacing w:line="60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重庆市南川区人民政府办公室</w:t>
      </w:r>
      <w:r>
        <w:rPr>
          <w:rFonts w:hint="eastAsia" w:ascii="Times New Roman" w:hAnsi="Times New Roman" w:eastAsia="方正仿宋_GBK" w:cs="Times New Roman"/>
          <w:sz w:val="32"/>
          <w:szCs w:val="32"/>
          <w:lang w:val="en-US" w:eastAsia="zh-CN"/>
        </w:rPr>
        <w:t xml:space="preserve">  </w:t>
      </w:r>
    </w:p>
    <w:p w14:paraId="04F1CBC0">
      <w:pPr>
        <w:pStyle w:val="9"/>
        <w:keepNext w:val="0"/>
        <w:keepLines w:val="0"/>
        <w:pageBreakBefore w:val="0"/>
        <w:widowControl w:val="0"/>
        <w:tabs>
          <w:tab w:val="left" w:pos="7560"/>
        </w:tabs>
        <w:kinsoku/>
        <w:wordWrap/>
        <w:overflowPunct/>
        <w:topLinePunct w:val="0"/>
        <w:autoSpaceDE/>
        <w:autoSpaceDN/>
        <w:bidi w:val="0"/>
        <w:adjustRightInd/>
        <w:snapToGrid/>
        <w:spacing w:before="0" w:beforeAutospacing="0" w:after="0" w:afterAutospacing="0" w:line="600" w:lineRule="exact"/>
        <w:ind w:right="0" w:rightChars="0" w:firstLine="5440" w:firstLineChars="1700"/>
        <w:jc w:val="lef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315B1CDF">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14:paraId="1FBA1462">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p>
    <w:p w14:paraId="73BFACA3">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p>
    <w:p w14:paraId="124BF075">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p>
    <w:p w14:paraId="2BCD8EA8">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p>
    <w:p w14:paraId="764680B1">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p>
    <w:p w14:paraId="67B04100">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p>
    <w:p w14:paraId="35C252A5">
      <w:pPr>
        <w:pStyle w:val="15"/>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小标宋_GBK" w:cs="Times New Roman"/>
          <w:b w:val="0"/>
          <w:bCs/>
          <w:kern w:val="0"/>
          <w:sz w:val="44"/>
          <w:szCs w:val="44"/>
          <w:highlight w:val="none"/>
          <w:lang w:val="en-US" w:eastAsia="zh-CN" w:bidi="ar-SA"/>
        </w:rPr>
      </w:pPr>
      <w:r>
        <w:rPr>
          <w:rFonts w:hint="default" w:ascii="Times New Roman" w:hAnsi="Times New Roman" w:eastAsia="方正小标宋_GBK" w:cs="Times New Roman"/>
          <w:b w:val="0"/>
          <w:bCs/>
          <w:kern w:val="0"/>
          <w:sz w:val="44"/>
          <w:szCs w:val="44"/>
          <w:highlight w:val="none"/>
          <w:lang w:val="en-US" w:eastAsia="zh-CN" w:bidi="ar-SA"/>
        </w:rPr>
        <w:t>南川区激励科技创新若干政策</w:t>
      </w:r>
    </w:p>
    <w:p w14:paraId="7E094BAC">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lang w:val="en-US" w:eastAsia="zh-CN"/>
        </w:rPr>
      </w:pPr>
    </w:p>
    <w:p w14:paraId="51DE3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仿宋_GBK" w:hAnsi="方正仿宋_GBK" w:eastAsia="方正仿宋_GBK" w:cs="方正仿宋_GBK"/>
          <w:sz w:val="32"/>
          <w:szCs w:val="32"/>
          <w:highlight w:val="none"/>
          <w:u w:val="none"/>
          <w:lang w:val="en-US" w:eastAsia="zh-CN"/>
        </w:rPr>
        <w:t>为全面贯彻落实党的二十大精神和习近平总书记关于推动科技创新的重要论述，优化创新资源配置，加速科技创新成果转移转化，加快新质生产力发展，支撑产业高质量发展，根据</w:t>
      </w:r>
      <w:r>
        <w:rPr>
          <w:rFonts w:hint="eastAsia" w:ascii="方正仿宋_GBK" w:hAnsi="方正仿宋_GBK" w:eastAsia="方正仿宋_GBK" w:cs="方正仿宋_GBK"/>
          <w:color w:val="auto"/>
          <w:sz w:val="32"/>
          <w:szCs w:val="32"/>
          <w:highlight w:val="none"/>
          <w:u w:val="none"/>
          <w:lang w:val="en-US" w:eastAsia="zh-CN"/>
        </w:rPr>
        <w:t>《重庆市科技创新促进条例》《重庆市人民政府办公厅关于印发支持科技创新若干财政金融政策的通知》（渝府办发〔</w:t>
      </w:r>
      <w:r>
        <w:rPr>
          <w:rFonts w:hint="default" w:ascii="Times New Roman" w:hAnsi="Times New Roman" w:eastAsia="方正仿宋_GBK" w:cs="Times New Roman"/>
          <w:color w:val="auto"/>
          <w:sz w:val="32"/>
          <w:szCs w:val="32"/>
          <w:highlight w:val="none"/>
          <w:u w:val="none"/>
          <w:lang w:val="en-US" w:eastAsia="zh-CN"/>
        </w:rPr>
        <w:t>2021</w:t>
      </w:r>
      <w:r>
        <w:rPr>
          <w:rFonts w:hint="eastAsia" w:ascii="方正仿宋_GBK" w:hAnsi="方正仿宋_GBK" w:eastAsia="方正仿宋_GBK" w:cs="方正仿宋_GBK"/>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47</w:t>
      </w:r>
      <w:r>
        <w:rPr>
          <w:rFonts w:hint="eastAsia" w:ascii="方正仿宋_GBK" w:hAnsi="方正仿宋_GBK" w:eastAsia="方正仿宋_GBK" w:cs="方正仿宋_GBK"/>
          <w:color w:val="auto"/>
          <w:sz w:val="32"/>
          <w:szCs w:val="32"/>
          <w:highlight w:val="none"/>
          <w:u w:val="none"/>
          <w:lang w:val="en-US" w:eastAsia="zh-CN"/>
        </w:rPr>
        <w:t>号）</w:t>
      </w:r>
      <w:r>
        <w:rPr>
          <w:rFonts w:hint="eastAsia" w:ascii="方正仿宋_GBK" w:hAnsi="方正仿宋_GBK" w:eastAsia="方正仿宋_GBK" w:cs="方正仿宋_GBK"/>
          <w:sz w:val="32"/>
          <w:szCs w:val="32"/>
          <w:highlight w:val="none"/>
          <w:u w:val="none"/>
          <w:lang w:val="en-US" w:eastAsia="zh-CN"/>
        </w:rPr>
        <w:t>等文件，结合南川实际，制定以下政策。</w:t>
      </w:r>
    </w:p>
    <w:p w14:paraId="5345EB92">
      <w:pPr>
        <w:pStyle w:val="3"/>
        <w:pageBreakBefore w:val="0"/>
        <w:widowControl w:val="0"/>
        <w:numPr>
          <w:ilvl w:val="0"/>
          <w:numId w:val="1"/>
        </w:numPr>
        <w:kinsoku/>
        <w:wordWrap/>
        <w:overflowPunct/>
        <w:topLinePunct w:val="0"/>
        <w:autoSpaceDE/>
        <w:autoSpaceDN/>
        <w:bidi w:val="0"/>
        <w:adjustRightInd/>
        <w:snapToGrid/>
        <w:spacing w:beforeLines="0" w:afterLines="0" w:line="60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培育壮大创新主体</w:t>
      </w:r>
    </w:p>
    <w:p w14:paraId="237BE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val="en-US" w:eastAsia="zh-CN"/>
        </w:rPr>
        <w:t>支持引育高新技术企业和科技型企业</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u w:val="none"/>
          <w:lang w:val="en-US" w:eastAsia="zh-CN"/>
        </w:rPr>
        <w:t>对首次认定的高新技术企业，一次性补助</w:t>
      </w:r>
      <w:r>
        <w:rPr>
          <w:rFonts w:hint="eastAsia" w:ascii="Times New Roman" w:hAnsi="Times New Roman" w:eastAsia="方正仿宋_GBK" w:cs="Times New Roman"/>
          <w:color w:val="auto"/>
          <w:sz w:val="32"/>
          <w:szCs w:val="32"/>
          <w:highlight w:val="none"/>
          <w:u w:val="none"/>
          <w:lang w:val="en-US" w:eastAsia="zh-CN"/>
        </w:rPr>
        <w:t>20</w:t>
      </w:r>
      <w:r>
        <w:rPr>
          <w:rFonts w:hint="eastAsia" w:ascii="方正仿宋_GBK" w:hAnsi="方正仿宋_GBK" w:eastAsia="方正仿宋_GBK" w:cs="方正仿宋_GBK"/>
          <w:sz w:val="32"/>
          <w:szCs w:val="32"/>
          <w:highlight w:val="none"/>
          <w:u w:val="none"/>
          <w:lang w:val="en-US" w:eastAsia="zh-CN"/>
        </w:rPr>
        <w:t>万元；对复审认定的高新技术企业，一次性补助</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z w:val="32"/>
          <w:szCs w:val="32"/>
          <w:highlight w:val="none"/>
          <w:u w:val="none"/>
          <w:lang w:val="en-US" w:eastAsia="zh-CN"/>
        </w:rPr>
        <w:t>万元。对首次通过审核成为重庆市科技型企业的，</w:t>
      </w:r>
      <w:r>
        <w:rPr>
          <w:rFonts w:hint="eastAsia" w:ascii="方正仿宋_GBK" w:hAnsi="方正仿宋_GBK" w:eastAsia="方正仿宋_GBK" w:cs="方正仿宋_GBK"/>
          <w:color w:val="auto"/>
          <w:sz w:val="32"/>
          <w:szCs w:val="32"/>
          <w:highlight w:val="none"/>
          <w:u w:val="none"/>
          <w:lang w:val="en-US" w:eastAsia="zh-CN"/>
        </w:rPr>
        <w:t>一次性</w:t>
      </w:r>
      <w:r>
        <w:rPr>
          <w:rFonts w:hint="eastAsia" w:ascii="方正仿宋_GBK" w:hAnsi="方正仿宋_GBK" w:eastAsia="方正仿宋_GBK" w:cs="方正仿宋_GBK"/>
          <w:sz w:val="32"/>
          <w:szCs w:val="32"/>
          <w:highlight w:val="none"/>
          <w:u w:val="none"/>
          <w:lang w:val="en-US" w:eastAsia="zh-CN"/>
        </w:rPr>
        <w:t>补助</w:t>
      </w:r>
      <w:r>
        <w:rPr>
          <w:rFonts w:hint="eastAsia" w:ascii="Times New Roman" w:hAnsi="Times New Roman" w:eastAsia="方正仿宋_GBK" w:cs="Times New Roman"/>
          <w:color w:val="auto"/>
          <w:sz w:val="32"/>
          <w:szCs w:val="32"/>
          <w:highlight w:val="none"/>
          <w:u w:val="none"/>
          <w:lang w:val="en-US" w:eastAsia="zh-CN"/>
        </w:rPr>
        <w:t>0.5</w:t>
      </w:r>
      <w:r>
        <w:rPr>
          <w:rFonts w:hint="eastAsia" w:ascii="方正仿宋_GBK" w:hAnsi="方正仿宋_GBK" w:eastAsia="方正仿宋_GBK" w:cs="方正仿宋_GBK"/>
          <w:sz w:val="32"/>
          <w:szCs w:val="32"/>
          <w:highlight w:val="none"/>
          <w:u w:val="none"/>
          <w:lang w:val="en-US" w:eastAsia="zh-CN"/>
        </w:rPr>
        <w:t>万元。</w:t>
      </w:r>
    </w:p>
    <w:p w14:paraId="51D957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val="en-US" w:eastAsia="zh-CN"/>
        </w:rPr>
        <w:t>支持引育新型研发机构。</w:t>
      </w:r>
      <w:r>
        <w:rPr>
          <w:rFonts w:hint="eastAsia" w:ascii="方正仿宋_GBK" w:hAnsi="方正仿宋_GBK" w:eastAsia="方正仿宋_GBK" w:cs="方正仿宋_GBK"/>
          <w:color w:val="auto"/>
          <w:sz w:val="32"/>
          <w:szCs w:val="32"/>
          <w:highlight w:val="none"/>
          <w:u w:val="none"/>
          <w:lang w:val="en-US" w:eastAsia="zh-CN"/>
        </w:rPr>
        <w:t>对新认定的国家级、市级新型高端研发机构、市级初创型新型研发机构，按等级分别给予不超过</w:t>
      </w:r>
      <w:r>
        <w:rPr>
          <w:rFonts w:hint="eastAsia" w:ascii="Times New Roman" w:hAnsi="Times New Roman" w:eastAsia="方正仿宋_GBK" w:cs="Times New Roman"/>
          <w:color w:val="auto"/>
          <w:sz w:val="32"/>
          <w:szCs w:val="32"/>
          <w:highlight w:val="none"/>
          <w:u w:val="none"/>
          <w:lang w:val="en-US" w:eastAsia="zh-CN"/>
        </w:rPr>
        <w:t>200</w:t>
      </w:r>
      <w:r>
        <w:rPr>
          <w:rFonts w:hint="eastAsia" w:ascii="方正仿宋_GBK" w:hAnsi="方正仿宋_GBK" w:eastAsia="方正仿宋_GBK" w:cs="方正仿宋_GBK"/>
          <w:color w:val="auto"/>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50</w:t>
      </w:r>
      <w:r>
        <w:rPr>
          <w:rFonts w:hint="eastAsia" w:ascii="方正仿宋_GBK" w:hAnsi="方正仿宋_GBK" w:eastAsia="方正仿宋_GBK" w:cs="方正仿宋_GBK"/>
          <w:color w:val="auto"/>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20</w:t>
      </w:r>
      <w:r>
        <w:rPr>
          <w:rFonts w:hint="eastAsia" w:ascii="方正仿宋_GBK" w:hAnsi="方正仿宋_GBK" w:eastAsia="方正仿宋_GBK" w:cs="方正仿宋_GBK"/>
          <w:color w:val="auto"/>
          <w:sz w:val="32"/>
          <w:szCs w:val="32"/>
          <w:highlight w:val="none"/>
          <w:u w:val="none"/>
          <w:lang w:val="en-US" w:eastAsia="zh-CN"/>
        </w:rPr>
        <w:t>万元补助。</w:t>
      </w:r>
    </w:p>
    <w:p w14:paraId="512F37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val="en-US" w:eastAsia="zh-CN"/>
        </w:rPr>
        <w:t>支持引育创新平台。</w:t>
      </w:r>
      <w:r>
        <w:rPr>
          <w:rFonts w:hint="eastAsia" w:ascii="方正仿宋_GBK" w:hAnsi="方正仿宋_GBK" w:eastAsia="方正仿宋_GBK" w:cs="方正仿宋_GBK"/>
          <w:color w:val="auto"/>
          <w:sz w:val="32"/>
          <w:szCs w:val="32"/>
          <w:highlight w:val="none"/>
          <w:u w:val="none"/>
          <w:lang w:val="en-US" w:eastAsia="zh-CN"/>
        </w:rPr>
        <w:t>对新认定的国家级和市级重点实验室、工程研究中心、技术创新中心、临床医学中心、野外科学观测研究站等科技创新基地，按等级分别给予不超过</w:t>
      </w:r>
      <w:r>
        <w:rPr>
          <w:rFonts w:hint="eastAsia" w:ascii="Times New Roman" w:hAnsi="Times New Roman" w:eastAsia="方正仿宋_GBK" w:cs="Times New Roman"/>
          <w:color w:val="auto"/>
          <w:sz w:val="32"/>
          <w:szCs w:val="32"/>
          <w:highlight w:val="none"/>
          <w:u w:val="none"/>
          <w:lang w:val="en-US" w:eastAsia="zh-CN"/>
        </w:rPr>
        <w:t>200</w:t>
      </w:r>
      <w:r>
        <w:rPr>
          <w:rFonts w:hint="eastAsia" w:ascii="方正仿宋_GBK" w:hAnsi="方正仿宋_GBK" w:eastAsia="方正仿宋_GBK" w:cs="方正仿宋_GBK"/>
          <w:color w:val="auto"/>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50</w:t>
      </w:r>
      <w:r>
        <w:rPr>
          <w:rFonts w:hint="eastAsia" w:ascii="方正仿宋_GBK" w:hAnsi="方正仿宋_GBK" w:eastAsia="方正仿宋_GBK" w:cs="方正仿宋_GBK"/>
          <w:color w:val="auto"/>
          <w:sz w:val="32"/>
          <w:szCs w:val="32"/>
          <w:highlight w:val="none"/>
          <w:u w:val="none"/>
          <w:lang w:val="en-US" w:eastAsia="zh-CN"/>
        </w:rPr>
        <w:t>万元补助。</w:t>
      </w:r>
    </w:p>
    <w:p w14:paraId="758F7B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lang w:val="en-US" w:eastAsia="zh-CN"/>
        </w:rPr>
        <w:t>支持建设科技孵化载体。</w:t>
      </w:r>
      <w:r>
        <w:rPr>
          <w:rFonts w:hint="eastAsia" w:ascii="方正仿宋_GBK" w:hAnsi="方正仿宋_GBK" w:eastAsia="方正仿宋_GBK" w:cs="方正仿宋_GBK"/>
          <w:color w:val="auto"/>
          <w:sz w:val="32"/>
          <w:szCs w:val="32"/>
          <w:highlight w:val="none"/>
          <w:u w:val="none"/>
          <w:lang w:val="en-US" w:eastAsia="zh-CN"/>
        </w:rPr>
        <w:t>对新认定的国家级、市级科技企业孵化器、众创空间，按等级分别给予一次性</w:t>
      </w:r>
      <w:r>
        <w:rPr>
          <w:rFonts w:hint="eastAsia" w:ascii="Times New Roman" w:hAnsi="Times New Roman" w:eastAsia="方正仿宋_GBK" w:cs="Times New Roman"/>
          <w:color w:val="auto"/>
          <w:sz w:val="32"/>
          <w:szCs w:val="32"/>
          <w:highlight w:val="none"/>
          <w:u w:val="none"/>
          <w:lang w:val="en-US" w:eastAsia="zh-CN"/>
        </w:rPr>
        <w:t>100</w:t>
      </w:r>
      <w:r>
        <w:rPr>
          <w:rFonts w:hint="eastAsia" w:ascii="方正仿宋_GBK" w:hAnsi="方正仿宋_GBK" w:eastAsia="方正仿宋_GBK" w:cs="方正仿宋_GBK"/>
          <w:color w:val="auto"/>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50</w:t>
      </w:r>
      <w:r>
        <w:rPr>
          <w:rFonts w:hint="eastAsia" w:ascii="方正仿宋_GBK" w:hAnsi="方正仿宋_GBK" w:eastAsia="方正仿宋_GBK" w:cs="方正仿宋_GBK"/>
          <w:color w:val="auto"/>
          <w:sz w:val="32"/>
          <w:szCs w:val="32"/>
          <w:highlight w:val="none"/>
          <w:u w:val="none"/>
          <w:lang w:val="en-US" w:eastAsia="zh-CN"/>
        </w:rPr>
        <w:t>万元补助。</w:t>
      </w:r>
    </w:p>
    <w:p w14:paraId="19B56C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lang w:val="en-US" w:eastAsia="zh-CN"/>
        </w:rPr>
        <w:t>支持建设科普基地。</w:t>
      </w:r>
      <w:r>
        <w:rPr>
          <w:rFonts w:hint="eastAsia" w:ascii="方正仿宋_GBK" w:hAnsi="方正仿宋_GBK" w:eastAsia="方正仿宋_GBK" w:cs="方正仿宋_GBK"/>
          <w:sz w:val="32"/>
          <w:szCs w:val="32"/>
          <w:highlight w:val="none"/>
          <w:u w:val="none"/>
          <w:lang w:val="en-US" w:eastAsia="zh-CN"/>
        </w:rPr>
        <w:t>对年度评估考核优秀和良好的科普基地予以不超过</w:t>
      </w:r>
      <w:r>
        <w:rPr>
          <w:rFonts w:hint="eastAsia" w:ascii="Times New Roman" w:hAnsi="Times New Roman" w:eastAsia="方正仿宋_GBK" w:cs="Times New Roman"/>
          <w:color w:val="auto"/>
          <w:sz w:val="32"/>
          <w:szCs w:val="32"/>
          <w:highlight w:val="none"/>
          <w:u w:val="none"/>
          <w:lang w:val="en-US" w:eastAsia="zh-CN"/>
        </w:rPr>
        <w:t>3</w:t>
      </w:r>
      <w:r>
        <w:rPr>
          <w:rFonts w:hint="eastAsia" w:ascii="方正仿宋_GBK" w:hAnsi="方正仿宋_GBK" w:eastAsia="方正仿宋_GBK" w:cs="方正仿宋_GBK"/>
          <w:sz w:val="32"/>
          <w:szCs w:val="32"/>
          <w:highlight w:val="none"/>
          <w:u w:val="none"/>
          <w:lang w:val="en-US" w:eastAsia="zh-CN"/>
        </w:rPr>
        <w:t>万元的奖励。</w:t>
      </w:r>
    </w:p>
    <w:p w14:paraId="2BF1FB7A">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二、支持提升创新能力</w:t>
      </w:r>
    </w:p>
    <w:p w14:paraId="266CAD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lang w:val="en-US" w:eastAsia="zh-CN"/>
        </w:rPr>
        <w:t>支持加大研发投入。</w:t>
      </w:r>
      <w:r>
        <w:rPr>
          <w:rFonts w:hint="eastAsia" w:ascii="方正仿宋_GBK" w:hAnsi="方正仿宋_GBK" w:eastAsia="方正仿宋_GBK" w:cs="方正仿宋_GBK"/>
          <w:sz w:val="32"/>
          <w:szCs w:val="32"/>
          <w:highlight w:val="none"/>
          <w:u w:val="none"/>
          <w:lang w:val="en-US" w:eastAsia="zh-CN"/>
        </w:rPr>
        <w:t>对有研发活动，且研发投入</w:t>
      </w:r>
      <w:r>
        <w:rPr>
          <w:rFonts w:hint="eastAsia" w:ascii="Times New Roman" w:hAnsi="Times New Roman" w:eastAsia="方正仿宋_GBK" w:cs="Times New Roman"/>
          <w:color w:val="auto"/>
          <w:sz w:val="32"/>
          <w:szCs w:val="32"/>
          <w:highlight w:val="none"/>
          <w:u w:val="none"/>
          <w:lang w:val="en-US" w:eastAsia="zh-CN"/>
        </w:rPr>
        <w:t>200</w:t>
      </w:r>
      <w:r>
        <w:rPr>
          <w:rFonts w:hint="eastAsia" w:ascii="方正仿宋_GBK" w:hAnsi="方正仿宋_GBK" w:eastAsia="方正仿宋_GBK" w:cs="方正仿宋_GBK"/>
          <w:sz w:val="32"/>
          <w:szCs w:val="32"/>
          <w:highlight w:val="none"/>
          <w:u w:val="none"/>
          <w:lang w:val="en-US" w:eastAsia="zh-CN"/>
        </w:rPr>
        <w:t>万元及以上的企业，按不高于研发投入的</w:t>
      </w:r>
      <w:r>
        <w:rPr>
          <w:rFonts w:hint="eastAsia" w:ascii="Times New Roman" w:hAnsi="Times New Roman" w:eastAsia="方正仿宋_GBK" w:cs="Times New Roman"/>
          <w:color w:val="auto"/>
          <w:sz w:val="32"/>
          <w:szCs w:val="32"/>
          <w:highlight w:val="none"/>
          <w:u w:val="none"/>
          <w:lang w:val="en-US" w:eastAsia="zh-CN"/>
        </w:rPr>
        <w:t>0.5</w:t>
      </w:r>
      <w:r>
        <w:rPr>
          <w:rFonts w:hint="eastAsia" w:ascii="方正仿宋_GBK" w:hAnsi="方正仿宋_GBK" w:eastAsia="方正仿宋_GBK" w:cs="方正仿宋_GBK"/>
          <w:sz w:val="32"/>
          <w:szCs w:val="32"/>
          <w:highlight w:val="none"/>
          <w:u w:val="none"/>
          <w:lang w:val="en-US" w:eastAsia="zh-CN"/>
        </w:rPr>
        <w:t>%给予补助，每个企业补助不超过</w:t>
      </w:r>
      <w:r>
        <w:rPr>
          <w:rFonts w:hint="eastAsia" w:ascii="Times New Roman" w:hAnsi="Times New Roman" w:eastAsia="方正仿宋_GBK" w:cs="Times New Roman"/>
          <w:color w:val="auto"/>
          <w:sz w:val="32"/>
          <w:szCs w:val="32"/>
          <w:highlight w:val="none"/>
          <w:u w:val="none"/>
          <w:lang w:val="en-US" w:eastAsia="zh-CN"/>
        </w:rPr>
        <w:t>100</w:t>
      </w:r>
      <w:r>
        <w:rPr>
          <w:rFonts w:hint="eastAsia" w:ascii="方正仿宋_GBK" w:hAnsi="方正仿宋_GBK" w:eastAsia="方正仿宋_GBK" w:cs="方正仿宋_GBK"/>
          <w:sz w:val="32"/>
          <w:szCs w:val="32"/>
          <w:highlight w:val="none"/>
          <w:u w:val="none"/>
          <w:lang w:val="en-US" w:eastAsia="zh-CN"/>
        </w:rPr>
        <w:t>万元。</w:t>
      </w:r>
    </w:p>
    <w:p w14:paraId="00332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lang w:val="en-US" w:eastAsia="zh-CN"/>
        </w:rPr>
        <w:t>支持区级科技创新项目。</w:t>
      </w:r>
      <w:r>
        <w:rPr>
          <w:rFonts w:hint="eastAsia" w:ascii="方正仿宋_GBK" w:hAnsi="方正仿宋_GBK" w:eastAsia="方正仿宋_GBK" w:cs="方正仿宋_GBK"/>
          <w:sz w:val="32"/>
          <w:szCs w:val="32"/>
          <w:highlight w:val="none"/>
          <w:u w:val="none"/>
          <w:lang w:val="en-US" w:eastAsia="zh-CN"/>
        </w:rPr>
        <w:t>聚焦智能网联新能源汽车及配套、绿色建材、新能源及新型储能、电子信息制造及软件信息服务、生物技术、中医药大健康产业及特色高效农业等重点产业关键核心技</w:t>
      </w:r>
      <w:r>
        <w:rPr>
          <w:rFonts w:hint="eastAsia" w:ascii="方正仿宋_GBK" w:hAnsi="方正仿宋_GBK" w:eastAsia="方正仿宋_GBK" w:cs="方正仿宋_GBK"/>
          <w:color w:val="auto"/>
          <w:sz w:val="32"/>
          <w:szCs w:val="32"/>
          <w:highlight w:val="none"/>
          <w:u w:val="none"/>
          <w:lang w:val="en-US" w:eastAsia="zh-CN"/>
        </w:rPr>
        <w:t>术攻关和重大技术装备研发，实施一批科技计划项目，每个项目给</w:t>
      </w:r>
      <w:r>
        <w:rPr>
          <w:rFonts w:hint="eastAsia" w:ascii="方正仿宋_GBK" w:hAnsi="方正仿宋_GBK" w:eastAsia="方正仿宋_GBK" w:cs="方正仿宋_GBK"/>
          <w:sz w:val="32"/>
          <w:szCs w:val="32"/>
          <w:highlight w:val="none"/>
          <w:u w:val="none"/>
          <w:lang w:val="en-US" w:eastAsia="zh-CN"/>
        </w:rPr>
        <w:t>予</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100</w:t>
      </w:r>
      <w:r>
        <w:rPr>
          <w:rFonts w:hint="eastAsia" w:ascii="方正仿宋_GBK" w:hAnsi="方正仿宋_GBK" w:eastAsia="方正仿宋_GBK" w:cs="方正仿宋_GBK"/>
          <w:sz w:val="32"/>
          <w:szCs w:val="32"/>
          <w:highlight w:val="none"/>
          <w:u w:val="none"/>
          <w:lang w:val="en-US" w:eastAsia="zh-CN"/>
        </w:rPr>
        <w:t>万元的补助。</w:t>
      </w:r>
    </w:p>
    <w:p w14:paraId="2415D1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lang w:val="en-US" w:eastAsia="zh-CN"/>
        </w:rPr>
        <w:t>支持创新平台高效运行。</w:t>
      </w:r>
      <w:r>
        <w:rPr>
          <w:rFonts w:hint="eastAsia" w:ascii="方正仿宋_GBK" w:hAnsi="方正仿宋_GBK" w:eastAsia="方正仿宋_GBK" w:cs="方正仿宋_GBK"/>
          <w:sz w:val="32"/>
          <w:szCs w:val="32"/>
          <w:highlight w:val="none"/>
          <w:u w:val="none"/>
          <w:lang w:val="en-US" w:eastAsia="zh-CN"/>
        </w:rPr>
        <w:t>支持创新平台提升研发和服务能力，对认定的各级创新平台定期开展绩效评价，根据评价结果分类分档给予不超过</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z w:val="32"/>
          <w:szCs w:val="32"/>
          <w:highlight w:val="none"/>
          <w:u w:val="none"/>
          <w:lang w:val="en-US" w:eastAsia="zh-CN"/>
        </w:rPr>
        <w:t>万元运营绩效补助。</w:t>
      </w:r>
    </w:p>
    <w:p w14:paraId="2360A7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三、鼓励转移转化科技成果</w:t>
      </w:r>
    </w:p>
    <w:p w14:paraId="11ED53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lang w:val="en-US" w:eastAsia="zh-CN"/>
        </w:rPr>
        <w:t>支持技术合同认定登记。</w:t>
      </w:r>
      <w:r>
        <w:rPr>
          <w:rFonts w:hint="eastAsia" w:ascii="方正仿宋_GBK" w:hAnsi="方正仿宋_GBK" w:eastAsia="方正仿宋_GBK" w:cs="方正仿宋_GBK"/>
          <w:color w:val="auto"/>
          <w:sz w:val="32"/>
          <w:szCs w:val="32"/>
          <w:highlight w:val="none"/>
          <w:u w:val="none"/>
          <w:lang w:val="en-US" w:eastAsia="zh-CN"/>
        </w:rPr>
        <w:t>对完成技术合同认定登记的，按不高于技术合同实际成交额的</w:t>
      </w:r>
      <w:r>
        <w:rPr>
          <w:rFonts w:hint="eastAsia" w:ascii="Times New Roman" w:hAnsi="Times New Roman" w:eastAsia="方正仿宋_GBK" w:cs="Times New Roman"/>
          <w:color w:val="auto"/>
          <w:sz w:val="32"/>
          <w:szCs w:val="32"/>
          <w:highlight w:val="none"/>
          <w:u w:val="none"/>
          <w:lang w:val="en-US" w:eastAsia="zh-CN"/>
        </w:rPr>
        <w:t>0.3</w:t>
      </w:r>
      <w:r>
        <w:rPr>
          <w:rFonts w:hint="eastAsia" w:ascii="方正仿宋_GBK" w:hAnsi="方正仿宋_GBK" w:eastAsia="方正仿宋_GBK" w:cs="方正仿宋_GBK"/>
          <w:color w:val="auto"/>
          <w:sz w:val="32"/>
          <w:szCs w:val="32"/>
          <w:highlight w:val="none"/>
          <w:u w:val="none"/>
          <w:lang w:val="en-US" w:eastAsia="zh-CN"/>
        </w:rPr>
        <w:t>%给予补助，每个登记主体年度补助不超过</w:t>
      </w:r>
      <w:r>
        <w:rPr>
          <w:rFonts w:hint="eastAsia" w:ascii="Times New Roman" w:hAnsi="Times New Roman" w:eastAsia="方正仿宋_GBK" w:cs="Times New Roman"/>
          <w:color w:val="auto"/>
          <w:sz w:val="32"/>
          <w:szCs w:val="32"/>
          <w:highlight w:val="none"/>
          <w:u w:val="none"/>
          <w:lang w:val="en-US" w:eastAsia="zh-CN"/>
        </w:rPr>
        <w:t>20</w:t>
      </w:r>
      <w:r>
        <w:rPr>
          <w:rFonts w:hint="eastAsia" w:ascii="方正仿宋_GBK" w:hAnsi="方正仿宋_GBK" w:eastAsia="方正仿宋_GBK" w:cs="方正仿宋_GBK"/>
          <w:color w:val="auto"/>
          <w:sz w:val="32"/>
          <w:szCs w:val="32"/>
          <w:highlight w:val="none"/>
          <w:u w:val="none"/>
          <w:lang w:val="en-US" w:eastAsia="zh-CN"/>
        </w:rPr>
        <w:t>万元。</w:t>
      </w:r>
    </w:p>
    <w:p w14:paraId="27CE88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（十）</w:t>
      </w:r>
      <w:r>
        <w:rPr>
          <w:rFonts w:hint="eastAsia" w:ascii="方正仿宋_GBK" w:hAnsi="方正仿宋_GBK" w:eastAsia="方正仿宋_GBK" w:cs="方正仿宋_GBK"/>
          <w:sz w:val="32"/>
          <w:szCs w:val="32"/>
          <w:highlight w:val="none"/>
          <w:u w:val="none"/>
          <w:lang w:val="en-US" w:eastAsia="zh-CN"/>
        </w:rPr>
        <w:t>支持科技成果转化。</w:t>
      </w:r>
      <w:r>
        <w:rPr>
          <w:rFonts w:hint="eastAsia" w:ascii="方正仿宋_GBK" w:hAnsi="方正仿宋_GBK" w:eastAsia="方正仿宋_GBK" w:cs="方正仿宋_GBK"/>
          <w:color w:val="auto"/>
          <w:sz w:val="32"/>
          <w:szCs w:val="32"/>
          <w:highlight w:val="none"/>
          <w:u w:val="none"/>
          <w:lang w:val="en-US" w:eastAsia="zh-CN"/>
        </w:rPr>
        <w:t>对</w:t>
      </w:r>
      <w:r>
        <w:rPr>
          <w:rFonts w:hint="eastAsia" w:ascii="方正仿宋_GBK" w:hAnsi="方正仿宋_GBK" w:eastAsia="方正仿宋_GBK" w:cs="方正仿宋_GBK"/>
          <w:sz w:val="32"/>
          <w:szCs w:val="32"/>
          <w:highlight w:val="none"/>
          <w:u w:val="none"/>
          <w:lang w:val="en-US" w:eastAsia="zh-CN"/>
        </w:rPr>
        <w:t>完成科技成果登记的，给予每项</w:t>
      </w:r>
      <w:r>
        <w:rPr>
          <w:rFonts w:hint="eastAsia" w:ascii="Times New Roman" w:hAnsi="Times New Roman" w:eastAsia="方正仿宋_GBK" w:cs="Times New Roman"/>
          <w:color w:val="auto"/>
          <w:sz w:val="32"/>
          <w:szCs w:val="32"/>
          <w:highlight w:val="none"/>
          <w:u w:val="none"/>
          <w:lang w:val="en-US" w:eastAsia="zh-CN"/>
        </w:rPr>
        <w:t>500</w:t>
      </w:r>
      <w:r>
        <w:rPr>
          <w:rFonts w:hint="eastAsia" w:ascii="方正仿宋_GBK" w:hAnsi="方正仿宋_GBK" w:eastAsia="方正仿宋_GBK" w:cs="方正仿宋_GBK"/>
          <w:sz w:val="32"/>
          <w:szCs w:val="32"/>
          <w:highlight w:val="none"/>
          <w:u w:val="none"/>
          <w:lang w:val="en-US" w:eastAsia="zh-CN"/>
        </w:rPr>
        <w:t>元补助，每个登记主体年度补助最高不超过</w:t>
      </w:r>
      <w:r>
        <w:rPr>
          <w:rFonts w:hint="eastAsia" w:ascii="Times New Roman" w:hAnsi="Times New Roman" w:eastAsia="方正仿宋_GBK" w:cs="Times New Roman"/>
          <w:color w:val="auto"/>
          <w:sz w:val="32"/>
          <w:szCs w:val="32"/>
          <w:highlight w:val="none"/>
          <w:u w:val="none"/>
          <w:lang w:val="en-US" w:eastAsia="zh-CN"/>
        </w:rPr>
        <w:t>2</w:t>
      </w:r>
      <w:r>
        <w:rPr>
          <w:rFonts w:hint="eastAsia" w:ascii="方正仿宋_GBK" w:hAnsi="方正仿宋_GBK" w:eastAsia="方正仿宋_GBK" w:cs="方正仿宋_GBK"/>
          <w:sz w:val="32"/>
          <w:szCs w:val="32"/>
          <w:highlight w:val="none"/>
          <w:u w:val="none"/>
          <w:lang w:val="en-US" w:eastAsia="zh-CN"/>
        </w:rPr>
        <w:t>万元。对引进或转化科技成果实现产品化产业化的企业，根据科技成果转化绩效考核结果，给予不超过</w:t>
      </w:r>
      <w:r>
        <w:rPr>
          <w:rFonts w:hint="eastAsia" w:ascii="Times New Roman" w:hAnsi="Times New Roman" w:eastAsia="方正仿宋_GBK" w:cs="Times New Roman"/>
          <w:color w:val="auto"/>
          <w:sz w:val="32"/>
          <w:szCs w:val="32"/>
          <w:highlight w:val="none"/>
          <w:u w:val="none"/>
          <w:lang w:val="en-US" w:eastAsia="zh-CN"/>
        </w:rPr>
        <w:t>50</w:t>
      </w:r>
      <w:r>
        <w:rPr>
          <w:rFonts w:hint="eastAsia" w:ascii="方正仿宋_GBK" w:hAnsi="方正仿宋_GBK" w:eastAsia="方正仿宋_GBK" w:cs="方正仿宋_GBK"/>
          <w:sz w:val="32"/>
          <w:szCs w:val="32"/>
          <w:highlight w:val="none"/>
          <w:u w:val="none"/>
          <w:lang w:val="en-US" w:eastAsia="zh-CN"/>
        </w:rPr>
        <w:t>万元的一次性补助。</w:t>
      </w:r>
    </w:p>
    <w:p w14:paraId="6EA967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color w:val="auto"/>
          <w:sz w:val="32"/>
          <w:szCs w:val="32"/>
          <w:highlight w:val="none"/>
          <w:lang w:val="en-US" w:eastAsia="zh-CN"/>
        </w:rPr>
        <w:t>（十一）</w:t>
      </w:r>
      <w:r>
        <w:rPr>
          <w:rFonts w:hint="eastAsia" w:ascii="方正仿宋_GBK" w:hAnsi="方正仿宋_GBK" w:eastAsia="方正仿宋_GBK" w:cs="方正仿宋_GBK"/>
          <w:sz w:val="32"/>
          <w:szCs w:val="32"/>
          <w:highlight w:val="none"/>
          <w:u w:val="none"/>
          <w:lang w:val="en-US" w:eastAsia="zh-CN"/>
        </w:rPr>
        <w:t>支持获得科学技术奖励。对获得国家、重庆市科学技术奖的第一完成单位或第一完成人，按获奖金额</w:t>
      </w:r>
      <w:r>
        <w:rPr>
          <w:rFonts w:hint="eastAsia" w:ascii="Times New Roman" w:hAnsi="Times New Roman" w:eastAsia="方正仿宋_GBK" w:cs="Times New Roman"/>
          <w:color w:val="auto"/>
          <w:sz w:val="32"/>
          <w:szCs w:val="32"/>
          <w:highlight w:val="none"/>
          <w:u w:val="none"/>
          <w:lang w:val="en-US" w:eastAsia="zh-CN"/>
        </w:rPr>
        <w:t>1:1</w:t>
      </w:r>
      <w:r>
        <w:rPr>
          <w:rFonts w:hint="eastAsia" w:ascii="方正仿宋_GBK" w:hAnsi="方正仿宋_GBK" w:eastAsia="方正仿宋_GBK" w:cs="方正仿宋_GBK"/>
          <w:sz w:val="32"/>
          <w:szCs w:val="32"/>
          <w:highlight w:val="none"/>
          <w:u w:val="none"/>
          <w:lang w:val="en-US" w:eastAsia="zh-CN"/>
        </w:rPr>
        <w:t>的比例给予配套奖励。</w:t>
      </w:r>
    </w:p>
    <w:p w14:paraId="35E6FD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lang w:val="en-US" w:eastAsia="zh-CN"/>
        </w:rPr>
      </w:pPr>
      <w:bookmarkStart w:id="0" w:name="_GoBack"/>
      <w:r>
        <w:rPr>
          <w:rFonts w:hint="eastAsia" w:ascii="方正楷体_GBK" w:hAnsi="方正楷体_GBK" w:eastAsia="方正楷体_GBK" w:cs="方正楷体_GBK"/>
          <w:color w:val="auto"/>
          <w:sz w:val="32"/>
          <w:szCs w:val="32"/>
          <w:highlight w:val="none"/>
          <w:lang w:val="en-US" w:eastAsia="zh-CN"/>
        </w:rPr>
        <w:t>（十二）</w:t>
      </w:r>
      <w:bookmarkEnd w:id="0"/>
      <w:r>
        <w:rPr>
          <w:rFonts w:hint="eastAsia" w:ascii="方正仿宋_GBK" w:hAnsi="方正仿宋_GBK" w:eastAsia="方正仿宋_GBK" w:cs="方正仿宋_GBK"/>
          <w:sz w:val="32"/>
          <w:szCs w:val="32"/>
          <w:highlight w:val="none"/>
          <w:u w:val="none"/>
          <w:lang w:val="en-US" w:eastAsia="zh-CN"/>
        </w:rPr>
        <w:t>支持参加创新创业大赛。对获得中国创新创业大赛一、二、三等奖的企业（团队），</w:t>
      </w:r>
      <w:r>
        <w:rPr>
          <w:rFonts w:hint="eastAsia" w:ascii="方正仿宋_GBK" w:hAnsi="方正仿宋_GBK" w:eastAsia="方正仿宋_GBK" w:cs="方正仿宋_GBK"/>
          <w:spacing w:val="6"/>
          <w:sz w:val="32"/>
          <w:szCs w:val="32"/>
          <w:highlight w:val="none"/>
          <w:u w:val="none"/>
          <w:lang w:val="en-US" w:eastAsia="zh-CN"/>
        </w:rPr>
        <w:t>分别一次性奖励</w:t>
      </w:r>
      <w:r>
        <w:rPr>
          <w:rFonts w:hint="eastAsia" w:ascii="Times New Roman" w:hAnsi="Times New Roman" w:eastAsia="方正仿宋_GBK" w:cs="Times New Roman"/>
          <w:color w:val="auto"/>
          <w:sz w:val="32"/>
          <w:szCs w:val="32"/>
          <w:highlight w:val="none"/>
          <w:u w:val="none"/>
          <w:lang w:val="en-US" w:eastAsia="zh-CN"/>
        </w:rPr>
        <w:t>30</w:t>
      </w:r>
      <w:r>
        <w:rPr>
          <w:rFonts w:hint="eastAsia" w:ascii="方正仿宋_GBK" w:hAnsi="方正仿宋_GBK" w:eastAsia="方正仿宋_GBK" w:cs="方正仿宋_GBK"/>
          <w:spacing w:val="6"/>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20</w:t>
      </w:r>
      <w:r>
        <w:rPr>
          <w:rFonts w:hint="eastAsia" w:ascii="方正仿宋_GBK" w:hAnsi="方正仿宋_GBK" w:eastAsia="方正仿宋_GBK" w:cs="方正仿宋_GBK"/>
          <w:spacing w:val="6"/>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pacing w:val="6"/>
          <w:sz w:val="32"/>
          <w:szCs w:val="32"/>
          <w:highlight w:val="none"/>
          <w:u w:val="none"/>
          <w:lang w:val="en-US" w:eastAsia="zh-CN"/>
        </w:rPr>
        <w:t>万元。对获得中国创新创业大赛（重庆赛区）一、二、三等奖的企业（团队），分别一次性奖励</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pacing w:val="6"/>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5</w:t>
      </w:r>
      <w:r>
        <w:rPr>
          <w:rFonts w:hint="eastAsia" w:ascii="方正仿宋_GBK" w:hAnsi="方正仿宋_GBK" w:eastAsia="方正仿宋_GBK" w:cs="方正仿宋_GBK"/>
          <w:spacing w:val="6"/>
          <w:sz w:val="32"/>
          <w:szCs w:val="32"/>
          <w:highlight w:val="none"/>
          <w:u w:val="none"/>
          <w:lang w:val="en-US" w:eastAsia="zh-CN"/>
        </w:rPr>
        <w:t>万元、</w:t>
      </w:r>
      <w:r>
        <w:rPr>
          <w:rFonts w:hint="eastAsia" w:ascii="Times New Roman" w:hAnsi="Times New Roman" w:eastAsia="方正仿宋_GBK" w:cs="Times New Roman"/>
          <w:color w:val="auto"/>
          <w:sz w:val="32"/>
          <w:szCs w:val="32"/>
          <w:highlight w:val="none"/>
          <w:u w:val="none"/>
          <w:lang w:val="en-US" w:eastAsia="zh-CN"/>
        </w:rPr>
        <w:t>3</w:t>
      </w:r>
      <w:r>
        <w:rPr>
          <w:rFonts w:hint="eastAsia" w:ascii="方正仿宋_GBK" w:hAnsi="方正仿宋_GBK" w:eastAsia="方正仿宋_GBK" w:cs="方正仿宋_GBK"/>
          <w:spacing w:val="6"/>
          <w:sz w:val="32"/>
          <w:szCs w:val="32"/>
          <w:highlight w:val="none"/>
          <w:u w:val="none"/>
          <w:lang w:val="en-US" w:eastAsia="zh-CN"/>
        </w:rPr>
        <w:t>万</w:t>
      </w:r>
      <w:r>
        <w:rPr>
          <w:rFonts w:hint="eastAsia" w:ascii="方正仿宋_GBK" w:hAnsi="方正仿宋_GBK" w:eastAsia="方正仿宋_GBK" w:cs="方正仿宋_GBK"/>
          <w:sz w:val="32"/>
          <w:szCs w:val="32"/>
          <w:highlight w:val="none"/>
          <w:u w:val="none"/>
          <w:lang w:val="en-US" w:eastAsia="zh-CN"/>
        </w:rPr>
        <w:t>元。</w:t>
      </w:r>
    </w:p>
    <w:p w14:paraId="30583F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pacing w:val="6"/>
          <w:sz w:val="32"/>
          <w:szCs w:val="32"/>
          <w:highlight w:val="none"/>
          <w:lang w:val="en-US" w:eastAsia="zh-CN"/>
        </w:rPr>
      </w:pPr>
      <w:r>
        <w:rPr>
          <w:rFonts w:hint="eastAsia" w:ascii="方正仿宋_GBK" w:hAnsi="方正仿宋_GBK" w:eastAsia="方正仿宋_GBK" w:cs="方正仿宋_GBK"/>
          <w:sz w:val="32"/>
          <w:szCs w:val="32"/>
          <w:highlight w:val="none"/>
          <w:u w:val="none"/>
          <w:lang w:val="en-US" w:eastAsia="zh-CN"/>
        </w:rPr>
        <w:t>同一主体获得同级同类型多项认定的，按就高原则只享</w:t>
      </w:r>
      <w:r>
        <w:rPr>
          <w:rFonts w:hint="eastAsia" w:ascii="方正仿宋_GBK" w:hAnsi="方正仿宋_GBK" w:eastAsia="方正仿宋_GBK" w:cs="方正仿宋_GBK"/>
          <w:sz w:val="32"/>
          <w:szCs w:val="32"/>
          <w:highlight w:val="none"/>
          <w:lang w:val="en-US" w:eastAsia="zh-CN"/>
        </w:rPr>
        <w:t>受一项。</w:t>
      </w:r>
      <w:r>
        <w:rPr>
          <w:rFonts w:hint="eastAsia" w:ascii="方正仿宋_GBK" w:hAnsi="方正仿宋_GBK" w:eastAsia="方正仿宋_GBK" w:cs="方正仿宋_GBK"/>
          <w:spacing w:val="6"/>
          <w:sz w:val="32"/>
          <w:szCs w:val="32"/>
          <w:highlight w:val="none"/>
          <w:lang w:val="en-US" w:eastAsia="zh-CN"/>
        </w:rPr>
        <w:t>本政策自</w:t>
      </w:r>
      <w:r>
        <w:rPr>
          <w:rFonts w:hint="eastAsia" w:ascii="Times New Roman" w:hAnsi="Times New Roman" w:eastAsia="方正仿宋_GBK" w:cs="Times New Roman"/>
          <w:color w:val="auto"/>
          <w:sz w:val="32"/>
          <w:szCs w:val="32"/>
          <w:highlight w:val="none"/>
          <w:u w:val="none"/>
          <w:lang w:val="en-US" w:eastAsia="zh-CN"/>
        </w:rPr>
        <w:t>2024</w:t>
      </w:r>
      <w:r>
        <w:rPr>
          <w:rFonts w:hint="eastAsia" w:ascii="方正仿宋_GBK" w:hAnsi="方正仿宋_GBK" w:eastAsia="方正仿宋_GBK" w:cs="方正仿宋_GBK"/>
          <w:spacing w:val="6"/>
          <w:sz w:val="32"/>
          <w:szCs w:val="32"/>
          <w:highlight w:val="none"/>
          <w:lang w:val="en-US" w:eastAsia="zh-CN"/>
        </w:rPr>
        <w:t>年</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pacing w:val="6"/>
          <w:sz w:val="32"/>
          <w:szCs w:val="32"/>
          <w:highlight w:val="none"/>
          <w:lang w:val="en-US" w:eastAsia="zh-CN"/>
        </w:rPr>
        <w:t>月</w:t>
      </w:r>
      <w:r>
        <w:rPr>
          <w:rFonts w:hint="eastAsia" w:ascii="Times New Roman" w:hAnsi="Times New Roman" w:eastAsia="方正仿宋_GBK" w:cs="Times New Roman"/>
          <w:color w:val="auto"/>
          <w:sz w:val="32"/>
          <w:szCs w:val="32"/>
          <w:highlight w:val="none"/>
          <w:u w:val="none"/>
          <w:lang w:val="en-US" w:eastAsia="zh-CN"/>
        </w:rPr>
        <w:t>13</w:t>
      </w:r>
      <w:r>
        <w:rPr>
          <w:rFonts w:hint="eastAsia" w:ascii="方正仿宋_GBK" w:hAnsi="方正仿宋_GBK" w:eastAsia="方正仿宋_GBK" w:cs="方正仿宋_GBK"/>
          <w:spacing w:val="6"/>
          <w:sz w:val="32"/>
          <w:szCs w:val="32"/>
          <w:highlight w:val="none"/>
          <w:lang w:val="en-US" w:eastAsia="zh-CN"/>
        </w:rPr>
        <w:t>日起施行，原《重庆市南川区人民政府办公室关于印发支持科技创新和制造业高质量发展若干财政金融人才政策的通知》（南川府办发〔</w:t>
      </w:r>
      <w:r>
        <w:rPr>
          <w:rFonts w:hint="eastAsia" w:ascii="Times New Roman" w:hAnsi="Times New Roman" w:eastAsia="方正仿宋_GBK" w:cs="Times New Roman"/>
          <w:color w:val="auto"/>
          <w:sz w:val="32"/>
          <w:szCs w:val="32"/>
          <w:highlight w:val="none"/>
          <w:u w:val="none"/>
          <w:lang w:val="en-US" w:eastAsia="zh-CN"/>
        </w:rPr>
        <w:t>2021</w:t>
      </w:r>
      <w:r>
        <w:rPr>
          <w:rFonts w:hint="eastAsia" w:ascii="方正仿宋_GBK" w:hAnsi="方正仿宋_GBK" w:eastAsia="方正仿宋_GBK" w:cs="方正仿宋_GBK"/>
          <w:spacing w:val="6"/>
          <w:sz w:val="32"/>
          <w:szCs w:val="32"/>
          <w:highlight w:val="none"/>
          <w:lang w:val="en-US" w:eastAsia="zh-CN"/>
        </w:rPr>
        <w:t>〕</w:t>
      </w:r>
      <w:r>
        <w:rPr>
          <w:rFonts w:hint="eastAsia" w:ascii="Times New Roman" w:hAnsi="Times New Roman" w:eastAsia="方正仿宋_GBK" w:cs="Times New Roman"/>
          <w:color w:val="auto"/>
          <w:sz w:val="32"/>
          <w:szCs w:val="32"/>
          <w:highlight w:val="none"/>
          <w:u w:val="none"/>
          <w:lang w:val="en-US" w:eastAsia="zh-CN"/>
        </w:rPr>
        <w:t>10</w:t>
      </w:r>
      <w:r>
        <w:rPr>
          <w:rFonts w:hint="eastAsia" w:ascii="方正仿宋_GBK" w:hAnsi="方正仿宋_GBK" w:eastAsia="方正仿宋_GBK" w:cs="方正仿宋_GBK"/>
          <w:spacing w:val="6"/>
          <w:sz w:val="32"/>
          <w:szCs w:val="32"/>
          <w:highlight w:val="none"/>
          <w:lang w:val="en-US" w:eastAsia="zh-CN"/>
        </w:rPr>
        <w:t>号）同时废止。</w:t>
      </w:r>
    </w:p>
    <w:p w14:paraId="3A536F97">
      <w:pPr>
        <w:pStyle w:val="2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2"/>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E6CE"/>
    <w:multiLevelType w:val="singleLevel"/>
    <w:tmpl w:val="E10CE6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B2F4AEE"/>
    <w:rsid w:val="1CF734C9"/>
    <w:rsid w:val="1DEC284C"/>
    <w:rsid w:val="1E6523AC"/>
    <w:rsid w:val="22440422"/>
    <w:rsid w:val="22BB4BBB"/>
    <w:rsid w:val="272E5669"/>
    <w:rsid w:val="29804371"/>
    <w:rsid w:val="2A1B3F79"/>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693003E"/>
    <w:rsid w:val="68BA4F1D"/>
    <w:rsid w:val="69AC0D42"/>
    <w:rsid w:val="6AD9688B"/>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autoRedefine/>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0"/>
    <w:pPr>
      <w:widowControl w:val="0"/>
      <w:ind w:firstLine="200" w:firstLineChars="200"/>
      <w:jc w:val="both"/>
    </w:pPr>
    <w:rPr>
      <w:rFonts w:ascii="Times New Roman" w:hAnsi="Times New Roman"/>
      <w:sz w:val="32"/>
      <w:szCs w:val="32"/>
    </w:rPr>
  </w:style>
  <w:style w:type="paragraph" w:styleId="6">
    <w:name w:val="annotation text"/>
    <w:basedOn w:val="1"/>
    <w:qFormat/>
    <w:uiPriority w:val="0"/>
    <w:pPr>
      <w:jc w:val="left"/>
    </w:pPr>
  </w:style>
  <w:style w:type="paragraph" w:styleId="7">
    <w:name w:val="Body Text"/>
    <w:basedOn w:val="1"/>
    <w:link w:val="30"/>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8">
    <w:name w:val="Body Text Indent"/>
    <w:basedOn w:val="1"/>
    <w:next w:val="5"/>
    <w:qFormat/>
    <w:uiPriority w:val="0"/>
    <w:pPr>
      <w:spacing w:line="360" w:lineRule="atLeast"/>
      <w:ind w:firstLine="555"/>
    </w:pPr>
    <w:rPr>
      <w:rFonts w:ascii="Verdana" w:hAnsi="Verdana"/>
    </w:rPr>
  </w:style>
  <w:style w:type="paragraph" w:styleId="9">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0">
    <w:name w:val="Plain Text"/>
    <w:basedOn w:val="1"/>
    <w:qFormat/>
    <w:uiPriority w:val="0"/>
    <w:rPr>
      <w:rFonts w:ascii="宋体" w:hAnsi="Courier New" w:cs="Courier New"/>
      <w:szCs w:val="21"/>
    </w:rPr>
  </w:style>
  <w:style w:type="paragraph" w:styleId="11">
    <w:name w:val="footer"/>
    <w:basedOn w:val="1"/>
    <w:link w:val="27"/>
    <w:autoRedefine/>
    <w:qFormat/>
    <w:uiPriority w:val="0"/>
    <w:pPr>
      <w:tabs>
        <w:tab w:val="center" w:pos="4153"/>
        <w:tab w:val="right" w:pos="8306"/>
      </w:tabs>
      <w:snapToGrid w:val="0"/>
      <w:jc w:val="left"/>
    </w:pPr>
    <w:rPr>
      <w:sz w:val="18"/>
    </w:rPr>
  </w:style>
  <w:style w:type="paragraph" w:styleId="12">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napToGrid w:val="0"/>
      <w:spacing w:line="540" w:lineRule="exact"/>
    </w:pPr>
    <w:rPr>
      <w:rFonts w:eastAsia="方正仿宋_GBK"/>
      <w:color w:val="00000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8"/>
    <w:qFormat/>
    <w:uiPriority w:val="0"/>
    <w:pPr>
      <w:ind w:firstLine="420" w:firstLineChars="200"/>
    </w:pPr>
    <w:rPr>
      <w:rFonts w:ascii="Times New Roman" w:hAnsi="Times New Roman" w:eastAsia="方正仿宋_GBK" w:cs="Times New Roman"/>
      <w:sz w:val="32"/>
      <w:szCs w:val="32"/>
    </w:rPr>
  </w:style>
  <w:style w:type="character" w:styleId="19">
    <w:name w:val="Strong"/>
    <w:basedOn w:val="18"/>
    <w:autoRedefine/>
    <w:qFormat/>
    <w:uiPriority w:val="0"/>
    <w:rPr>
      <w:b/>
      <w:bCs/>
    </w:rPr>
  </w:style>
  <w:style w:type="character" w:styleId="20">
    <w:name w:val="FollowedHyperlink"/>
    <w:basedOn w:val="18"/>
    <w:autoRedefine/>
    <w:qFormat/>
    <w:uiPriority w:val="0"/>
    <w:rPr>
      <w:color w:val="800080"/>
      <w:u w:val="single"/>
    </w:rPr>
  </w:style>
  <w:style w:type="character" w:styleId="21">
    <w:name w:val="Hyperlink"/>
    <w:basedOn w:val="18"/>
    <w:qFormat/>
    <w:uiPriority w:val="0"/>
    <w:rPr>
      <w:color w:val="0000FF"/>
      <w:u w:val="single"/>
    </w:rPr>
  </w:style>
  <w:style w:type="paragraph" w:customStyle="1" w:styleId="22">
    <w:name w:val="正文文本 21"/>
    <w:basedOn w:val="1"/>
    <w:autoRedefine/>
    <w:qFormat/>
    <w:uiPriority w:val="0"/>
    <w:pPr>
      <w:snapToGrid w:val="0"/>
      <w:spacing w:line="540" w:lineRule="exact"/>
    </w:pPr>
    <w:rPr>
      <w:rFonts w:eastAsia="方正仿宋_GBK"/>
      <w:color w:val="000000"/>
    </w:rPr>
  </w:style>
  <w:style w:type="paragraph" w:customStyle="1" w:styleId="23">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4">
    <w:name w:val="p0"/>
    <w:basedOn w:val="1"/>
    <w:autoRedefine/>
    <w:qFormat/>
    <w:uiPriority w:val="0"/>
    <w:pPr>
      <w:widowControl/>
    </w:pPr>
    <w:rPr>
      <w:rFonts w:ascii="Calibri" w:hAnsi="Calibri" w:eastAsia="宋体" w:cs="宋体"/>
      <w:kern w:val="0"/>
      <w:szCs w:val="32"/>
    </w:rPr>
  </w:style>
  <w:style w:type="character" w:customStyle="1" w:styleId="25">
    <w:name w:val="页眉 Char"/>
    <w:basedOn w:val="18"/>
    <w:link w:val="12"/>
    <w:autoRedefine/>
    <w:qFormat/>
    <w:uiPriority w:val="0"/>
    <w:rPr>
      <w:rFonts w:hint="eastAsia" w:ascii="仿宋_GB2312" w:eastAsia="仿宋_GB2312" w:cs="仿宋_GB2312"/>
      <w:kern w:val="2"/>
      <w:sz w:val="18"/>
      <w:szCs w:val="24"/>
    </w:rPr>
  </w:style>
  <w:style w:type="character" w:customStyle="1" w:styleId="26">
    <w:name w:val="正文文本 2 Char"/>
    <w:basedOn w:val="18"/>
    <w:autoRedefine/>
    <w:qFormat/>
    <w:uiPriority w:val="0"/>
    <w:rPr>
      <w:rFonts w:hint="eastAsia" w:ascii="仿宋_GB2312" w:eastAsia="仿宋_GB2312" w:cs="仿宋_GB2312"/>
      <w:kern w:val="2"/>
      <w:sz w:val="32"/>
      <w:szCs w:val="24"/>
    </w:rPr>
  </w:style>
  <w:style w:type="character" w:customStyle="1" w:styleId="27">
    <w:name w:val="页脚 Char"/>
    <w:basedOn w:val="18"/>
    <w:link w:val="11"/>
    <w:qFormat/>
    <w:uiPriority w:val="0"/>
    <w:rPr>
      <w:rFonts w:hint="eastAsia" w:ascii="仿宋_GB2312" w:eastAsia="仿宋_GB2312" w:cs="仿宋_GB2312"/>
      <w:kern w:val="2"/>
      <w:sz w:val="18"/>
      <w:szCs w:val="24"/>
    </w:rPr>
  </w:style>
  <w:style w:type="character" w:customStyle="1" w:styleId="28">
    <w:name w:val="font21"/>
    <w:basedOn w:val="18"/>
    <w:autoRedefine/>
    <w:qFormat/>
    <w:uiPriority w:val="0"/>
    <w:rPr>
      <w:rFonts w:hint="eastAsia" w:ascii="方正仿宋_GBK" w:hAnsi="方正仿宋_GBK" w:eastAsia="方正仿宋_GBK" w:cs="方正仿宋_GBK"/>
      <w:color w:val="000000"/>
      <w:sz w:val="20"/>
      <w:szCs w:val="20"/>
      <w:u w:val="none"/>
    </w:rPr>
  </w:style>
  <w:style w:type="character" w:customStyle="1" w:styleId="29">
    <w:name w:val="p0 Char Char"/>
    <w:basedOn w:val="18"/>
    <w:autoRedefine/>
    <w:qFormat/>
    <w:uiPriority w:val="0"/>
    <w:rPr>
      <w:sz w:val="21"/>
      <w:szCs w:val="21"/>
    </w:rPr>
  </w:style>
  <w:style w:type="character" w:customStyle="1" w:styleId="30">
    <w:name w:val="正文文本 Char"/>
    <w:basedOn w:val="18"/>
    <w:link w:val="7"/>
    <w:autoRedefine/>
    <w:qFormat/>
    <w:uiPriority w:val="0"/>
    <w:rPr>
      <w:rFonts w:hint="default" w:ascii="Calibri" w:hAnsi="Calibri" w:cs="Calibri"/>
      <w:kern w:val="2"/>
      <w:sz w:val="48"/>
      <w:szCs w:val="24"/>
    </w:rPr>
  </w:style>
  <w:style w:type="character" w:customStyle="1" w:styleId="31">
    <w:name w:val="page number"/>
    <w:basedOn w:val="18"/>
    <w:autoRedefine/>
    <w:qFormat/>
    <w:uiPriority w:val="0"/>
  </w:style>
  <w:style w:type="paragraph" w:customStyle="1" w:styleId="32">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3">
    <w:name w:val="页眉 Char1"/>
    <w:basedOn w:val="18"/>
    <w:link w:val="12"/>
    <w:autoRedefine/>
    <w:qFormat/>
    <w:uiPriority w:val="0"/>
    <w:rPr>
      <w:rFonts w:hint="eastAsia" w:ascii="仿宋_GB2312" w:eastAsia="仿宋_GB2312" w:cs="仿宋_GB2312"/>
      <w:kern w:val="2"/>
      <w:sz w:val="18"/>
      <w:szCs w:val="18"/>
    </w:rPr>
  </w:style>
  <w:style w:type="paragraph" w:customStyle="1" w:styleId="3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5">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6">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3373</Words>
  <Characters>3394</Characters>
  <Lines>1</Lines>
  <Paragraphs>1</Paragraphs>
  <TotalTime>20</TotalTime>
  <ScaleCrop>false</ScaleCrop>
  <LinksUpToDate>false</LinksUpToDate>
  <CharactersWithSpaces>3493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2024-09-30T02:05:21Z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6B50FDD45658465FA6F0CFEDF85F1420_13</vt:lpwstr>
  </property>
</Properties>
</file>