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rPr>
          <w:rStyle w:val="10"/>
          <w:rFonts w:hint="eastAsia" w:ascii="Times New Roman" w:hAnsi="Times New Roman" w:eastAsia="方正黑体_GBK" w:cs="Times New Roman"/>
          <w:sz w:val="32"/>
          <w:szCs w:val="2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南川区工业园区行政权力和责任事项清单（2024年）</w:t>
      </w:r>
    </w:p>
    <w:tbl>
      <w:tblPr>
        <w:tblStyle w:val="8"/>
        <w:tblW w:w="1515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48"/>
        <w:gridCol w:w="1144"/>
        <w:gridCol w:w="3158"/>
        <w:gridCol w:w="1062"/>
        <w:gridCol w:w="1116"/>
        <w:gridCol w:w="2706"/>
        <w:gridCol w:w="3074"/>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序号</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事项名称</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权利类型</w:t>
            </w:r>
          </w:p>
        </w:tc>
        <w:tc>
          <w:tcPr>
            <w:tcW w:w="31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法律依据</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行使层级</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实施部门</w:t>
            </w:r>
          </w:p>
        </w:tc>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追责情形</w:t>
            </w:r>
          </w:p>
        </w:tc>
        <w:tc>
          <w:tcPr>
            <w:tcW w:w="307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追责依据</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1</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对区域内企业的安全生产开展日常监管和督导检查</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行政检查</w:t>
            </w:r>
          </w:p>
        </w:tc>
        <w:tc>
          <w:tcPr>
            <w:tcW w:w="3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《中华人民共和国安全生产法》第九条：</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Times New Roman" w:hAnsi="Times New Roman" w:eastAsia="方正仿宋_GBK" w:cs="Times New Roman"/>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《重庆市安全生产条例》（重庆市人民代表大会常务委员会公告〔2015〕第37号）第六条：</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r>
              <w:rPr>
                <w:rFonts w:hint="eastAsia" w:ascii="Times New Roman" w:hAnsi="Times New Roman" w:eastAsia="方正仿宋_GBK" w:cs="Times New Roman"/>
                <w:sz w:val="18"/>
                <w:szCs w:val="18"/>
                <w:lang w:val="en-US" w:eastAsia="zh-CN"/>
              </w:rPr>
              <w:t>”</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区县级</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工业园区管委会</w:t>
            </w:r>
          </w:p>
        </w:tc>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一、违反《中华人民共和国安全生产法》《重庆市安全生产条例》等法律法规、规章的情形：</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 xml:space="preserve">  1.不按照经本级人民政府批准的年度安全生产监督检查计划对区域内企业组织监督检查。</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 xml:space="preserve">  2.对在检查中发现的问题，不配合有关部门进行违法行为处罚和纠正工作。</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 xml:space="preserve">  3.对监督检查发现的问题，不对整改情况组织进行复查。</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 xml:space="preserve">  4.其他违反法律法规规章文件规定的行为。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二、违反《公务员法》、《监察法》、《行政机关公务员处分条例》《事业单位工作人员处分暂行规定》等的追责情形。</w:t>
            </w:r>
          </w:p>
        </w:tc>
        <w:tc>
          <w:tcPr>
            <w:tcW w:w="30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《重庆市安全生产条例》（重庆市人民代表大会常务委员会公告〔2015〕第37号）第五十九条：</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违反本条例规定，负有安全生产监督管理职责部门的工作人员滥用职权、玩忽职守、徇私舞弊的，依法给予处分；构成犯罪的，依法追究刑事责任。</w:t>
            </w:r>
            <w:r>
              <w:rPr>
                <w:rFonts w:hint="eastAsia" w:ascii="Times New Roman" w:hAnsi="Times New Roman" w:eastAsia="方正仿宋_GBK" w:cs="Times New Roman"/>
                <w:sz w:val="18"/>
                <w:szCs w:val="18"/>
                <w:lang w:val="en-US" w:eastAsia="zh-CN"/>
              </w:rPr>
              <w:t>”</w:t>
            </w:r>
          </w:p>
        </w:tc>
        <w:tc>
          <w:tcPr>
            <w:tcW w:w="748" w:type="dxa"/>
            <w:noWrap w:val="0"/>
            <w:vAlign w:val="center"/>
          </w:tcPr>
          <w:p>
            <w:pPr>
              <w:jc w:val="center"/>
              <w:rPr>
                <w:rFonts w:hint="default" w:ascii="Times New Roman" w:hAnsi="Times New Roman" w:eastAsia="方正仿宋_GBK" w:cs="Times New Roman"/>
                <w:sz w:val="18"/>
                <w:szCs w:val="18"/>
                <w:vertAlign w:val="baseline"/>
                <w:lang w:val="en-US" w:eastAsia="zh-CN"/>
              </w:rPr>
            </w:pPr>
          </w:p>
        </w:tc>
      </w:tr>
    </w:tbl>
    <w:p>
      <w:pPr>
        <w:spacing w:line="240" w:lineRule="auto"/>
      </w:pPr>
    </w:p>
    <w:sectPr>
      <w:footerReference r:id="rId3" w:type="default"/>
      <w:pgSz w:w="16838" w:h="11906" w:orient="landscape"/>
      <w:pgMar w:top="1446" w:right="1984" w:bottom="1446" w:left="1644"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30FBC"/>
    <w:rsid w:val="16B2638A"/>
    <w:rsid w:val="25C22AE9"/>
    <w:rsid w:val="2FB30FBC"/>
    <w:rsid w:val="64B40AB3"/>
    <w:rsid w:val="6D5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1000" w:lineRule="exact"/>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0"/>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6"/>
    </w:rPr>
  </w:style>
  <w:style w:type="paragraph" w:styleId="3">
    <w:name w:val="toc 5"/>
    <w:basedOn w:val="1"/>
    <w:next w:val="1"/>
    <w:qFormat/>
    <w:uiPriority w:val="0"/>
    <w:pPr>
      <w:ind w:left="1680" w:leftChars="800"/>
    </w:pPr>
  </w:style>
  <w:style w:type="paragraph" w:styleId="5">
    <w:name w:val="footer"/>
    <w:basedOn w:val="1"/>
    <w:unhideWhenUsed/>
    <w:qFormat/>
    <w:uiPriority w:val="99"/>
    <w:pPr>
      <w:tabs>
        <w:tab w:val="center" w:pos="4153"/>
        <w:tab w:val="right" w:pos="8306"/>
      </w:tabs>
      <w:snapToGrid w:val="0"/>
      <w:spacing w:line="240" w:lineRule="auto"/>
      <w:jc w:val="left"/>
    </w:pPr>
    <w:rPr>
      <w:rFonts w:ascii="Calibri" w:hAnsi="Calibri" w:eastAsia="宋体" w:cs="Times New Roman"/>
      <w:sz w:val="18"/>
      <w:szCs w:val="18"/>
    </w:rPr>
  </w:style>
  <w:style w:type="paragraph" w:styleId="6">
    <w:name w:val="Normal (Web)"/>
    <w:basedOn w:val="1"/>
    <w:unhideWhenUsed/>
    <w:qFormat/>
    <w:uiPriority w:val="0"/>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2 Char"/>
    <w:link w:val="4"/>
    <w:qFormat/>
    <w:uiPriority w:val="0"/>
    <w:rPr>
      <w:rFonts w:eastAsia="方正黑体_GBK"/>
    </w:rPr>
  </w:style>
  <w:style w:type="paragraph" w:customStyle="1" w:styleId="11">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2024-05-30T02:12:00Z</dcterms:created>
  <dc:creator>司法局系统管理员[sfj]</dc:creator>
  <cp:lastModifiedBy>司法局系统管理员[sfj]</cp:lastModifiedBy>
  <dcterms:modified xsi:type="dcterms:W3CDTF">2024-06-21T02:17:57Z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