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80" w:lineRule="exact"/>
        <w:ind w:left="0" w:leftChars="0" w:firstLine="0"/>
        <w:jc w:val="center"/>
        <w:rPr>
          <w:rFonts w:ascii="方正小标宋简体" w:hAnsi="方正小标宋简体" w:eastAsia="方正小标宋简体" w:cs="方正小标宋简体"/>
          <w:color w:val="000000" w:themeColor="text1"/>
          <w:spacing w:val="-6"/>
          <w:sz w:val="15"/>
          <w:szCs w:val="15"/>
        </w:rPr>
      </w:pPr>
    </w:p>
    <w:p>
      <w:pPr>
        <w:pStyle w:val="16"/>
        <w:spacing w:after="0" w:line="580" w:lineRule="exact"/>
        <w:ind w:left="0" w:leftChars="0" w:firstLine="0"/>
        <w:jc w:val="center"/>
        <w:rPr>
          <w:rFonts w:eastAsia="方正小标宋简体"/>
          <w:color w:val="000000" w:themeColor="text1"/>
          <w:spacing w:val="-6"/>
          <w:sz w:val="24"/>
        </w:rPr>
      </w:pPr>
    </w:p>
    <w:p>
      <w:pPr>
        <w:pStyle w:val="16"/>
        <w:spacing w:after="0" w:line="580" w:lineRule="exact"/>
        <w:ind w:left="0" w:leftChars="0" w:firstLine="0"/>
        <w:jc w:val="center"/>
        <w:rPr>
          <w:rFonts w:eastAsia="方正小标宋简体"/>
          <w:color w:val="000000" w:themeColor="text1"/>
          <w:spacing w:val="-6"/>
          <w:sz w:val="24"/>
        </w:rPr>
      </w:pPr>
    </w:p>
    <w:p>
      <w:pPr>
        <w:adjustRightInd w:val="0"/>
        <w:snapToGrid w:val="0"/>
        <w:spacing w:beforeLines="50" w:afterLines="50" w:line="800" w:lineRule="exact"/>
        <w:jc w:val="center"/>
        <w:rPr>
          <w:rFonts w:eastAsia="方正小标宋_GBK"/>
          <w:b/>
          <w:color w:val="000000" w:themeColor="text1"/>
          <w:sz w:val="56"/>
          <w:szCs w:val="56"/>
        </w:rPr>
      </w:pPr>
      <w:r>
        <w:rPr>
          <w:rFonts w:eastAsia="方正小标宋_GBK"/>
          <w:b/>
          <w:color w:val="000000" w:themeColor="text1"/>
          <w:sz w:val="56"/>
          <w:szCs w:val="56"/>
        </w:rPr>
        <w:t>重庆市南川区城市基础设施</w:t>
      </w:r>
    </w:p>
    <w:p>
      <w:pPr>
        <w:adjustRightInd w:val="0"/>
        <w:snapToGrid w:val="0"/>
        <w:spacing w:beforeLines="50" w:afterLines="50" w:line="800" w:lineRule="exact"/>
        <w:jc w:val="center"/>
        <w:rPr>
          <w:rFonts w:eastAsia="方正小标宋_GBK"/>
          <w:b/>
          <w:color w:val="000000" w:themeColor="text1"/>
          <w:sz w:val="56"/>
          <w:szCs w:val="56"/>
        </w:rPr>
      </w:pPr>
      <w:r>
        <w:rPr>
          <w:rFonts w:eastAsia="方正小标宋_GBK"/>
          <w:b/>
          <w:color w:val="000000" w:themeColor="text1"/>
          <w:sz w:val="56"/>
          <w:szCs w:val="56"/>
        </w:rPr>
        <w:t>“十四五”规划</w:t>
      </w:r>
      <w:bookmarkStart w:id="0" w:name="_Hlk94171772"/>
      <w:r>
        <w:rPr>
          <w:rFonts w:hint="eastAsia" w:eastAsia="方正小标宋_GBK"/>
          <w:b/>
          <w:color w:val="000000" w:themeColor="text1"/>
          <w:sz w:val="56"/>
          <w:szCs w:val="56"/>
        </w:rPr>
        <w:t>（</w:t>
      </w:r>
      <w:r>
        <w:rPr>
          <w:rFonts w:eastAsia="方正小标宋_GBK"/>
          <w:b/>
          <w:color w:val="000000" w:themeColor="text1"/>
          <w:sz w:val="56"/>
          <w:szCs w:val="56"/>
        </w:rPr>
        <w:t>2021-2025</w:t>
      </w:r>
      <w:bookmarkEnd w:id="0"/>
      <w:r>
        <w:rPr>
          <w:rFonts w:hint="eastAsia" w:eastAsia="方正小标宋_GBK"/>
          <w:b/>
          <w:color w:val="000000" w:themeColor="text1"/>
          <w:sz w:val="56"/>
          <w:szCs w:val="56"/>
        </w:rPr>
        <w:t>）</w:t>
      </w: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24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spacing w:line="580" w:lineRule="exact"/>
        <w:ind w:left="0" w:leftChars="0" w:firstLine="0"/>
        <w:jc w:val="center"/>
        <w:rPr>
          <w:rFonts w:ascii="方正小标宋简体" w:hAnsi="方正小标宋简体" w:eastAsia="方正小标宋简体" w:cs="方正小标宋简体"/>
          <w:b/>
          <w:color w:val="000000" w:themeColor="text1"/>
          <w:spacing w:val="-6"/>
          <w:sz w:val="52"/>
          <w:szCs w:val="52"/>
        </w:rPr>
      </w:pPr>
    </w:p>
    <w:p>
      <w:pPr>
        <w:pStyle w:val="16"/>
        <w:ind w:left="0" w:leftChars="0" w:firstLine="0"/>
        <w:jc w:val="center"/>
        <w:rPr>
          <w:rFonts w:ascii="方正小标宋简体" w:hAnsi="方正小标宋简体" w:eastAsia="方正小标宋简体" w:cs="方正小标宋简体"/>
          <w:b/>
          <w:color w:val="000000" w:themeColor="text1"/>
          <w:spacing w:val="-6"/>
          <w:sz w:val="52"/>
          <w:szCs w:val="52"/>
        </w:rPr>
      </w:pPr>
    </w:p>
    <w:p>
      <w:pPr>
        <w:spacing w:line="580" w:lineRule="exact"/>
        <w:jc w:val="center"/>
        <w:rPr>
          <w:rFonts w:ascii="方正楷体_GBK" w:hAnsi="方正楷体_GBK" w:eastAsia="方正楷体_GBK" w:cs="方正楷体_GBK"/>
          <w:b/>
          <w:bCs/>
          <w:color w:val="000000" w:themeColor="text1"/>
          <w:sz w:val="36"/>
          <w:szCs w:val="36"/>
        </w:rPr>
      </w:pPr>
      <w:r>
        <w:rPr>
          <w:rFonts w:hint="eastAsia" w:ascii="方正楷体_GBK" w:hAnsi="方正楷体_GBK" w:eastAsia="方正楷体_GBK" w:cs="方正楷体_GBK"/>
          <w:b/>
          <w:bCs/>
          <w:color w:val="000000" w:themeColor="text1"/>
          <w:sz w:val="36"/>
          <w:szCs w:val="36"/>
        </w:rPr>
        <w:t>南川区人民政府办公室</w:t>
      </w:r>
    </w:p>
    <w:p>
      <w:pPr>
        <w:spacing w:line="580" w:lineRule="exact"/>
        <w:jc w:val="center"/>
        <w:rPr>
          <w:rFonts w:ascii="方正楷体_GBK" w:hAnsi="方正楷体_GBK" w:eastAsia="方正楷体_GBK" w:cs="方正楷体_GBK"/>
          <w:b/>
          <w:bCs/>
          <w:color w:val="000000" w:themeColor="text1"/>
          <w:sz w:val="36"/>
          <w:szCs w:val="36"/>
        </w:rPr>
      </w:pPr>
      <w:r>
        <w:rPr>
          <w:rFonts w:hint="eastAsia" w:ascii="方正楷体_GBK" w:hAnsi="方正楷体_GBK" w:eastAsia="方正楷体_GBK" w:cs="方正楷体_GBK"/>
          <w:b/>
          <w:bCs/>
          <w:color w:val="000000" w:themeColor="text1"/>
          <w:sz w:val="36"/>
          <w:szCs w:val="36"/>
        </w:rPr>
        <w:t>二〇二二年</w:t>
      </w:r>
      <w:r>
        <w:rPr>
          <w:rFonts w:hint="eastAsia" w:ascii="方正楷体_GBK" w:hAnsi="方正楷体_GBK" w:eastAsia="方正楷体_GBK" w:cs="方正楷体_GBK"/>
          <w:b/>
          <w:bCs/>
          <w:color w:val="000000" w:themeColor="text1"/>
          <w:sz w:val="36"/>
          <w:szCs w:val="36"/>
          <w:lang w:val="en-US" w:eastAsia="zh-CN"/>
        </w:rPr>
        <w:t>十二</w:t>
      </w:r>
      <w:r>
        <w:rPr>
          <w:rFonts w:hint="eastAsia" w:ascii="方正楷体_GBK" w:hAnsi="方正楷体_GBK" w:eastAsia="方正楷体_GBK" w:cs="方正楷体_GBK"/>
          <w:b/>
          <w:bCs/>
          <w:color w:val="000000" w:themeColor="text1"/>
          <w:sz w:val="36"/>
          <w:szCs w:val="36"/>
        </w:rPr>
        <w:t>月</w:t>
      </w:r>
    </w:p>
    <w:sdt>
      <w:sdtPr>
        <w:rPr>
          <w:rFonts w:ascii="Times New Roman" w:hAnsi="Times New Roman" w:eastAsia="宋体" w:cs="Times New Roman"/>
          <w:b w:val="0"/>
          <w:bCs w:val="0"/>
          <w:color w:val="000000" w:themeColor="text1"/>
          <w:kern w:val="2"/>
          <w:sz w:val="21"/>
          <w:szCs w:val="24"/>
          <w:lang w:val="zh-CN"/>
        </w:rPr>
        <w:id w:val="22489372"/>
        <w:docPartObj>
          <w:docPartGallery w:val="Table of Contents"/>
          <w:docPartUnique/>
        </w:docPartObj>
      </w:sdtPr>
      <w:sdtEndPr>
        <w:rPr>
          <w:rFonts w:cs="Times New Roman" w:asciiTheme="minorEastAsia" w:hAnsiTheme="minorEastAsia" w:eastAsiaTheme="minorEastAsia"/>
          <w:b w:val="0"/>
          <w:bCs w:val="0"/>
          <w:color w:val="000000" w:themeColor="text1"/>
          <w:kern w:val="2"/>
          <w:sz w:val="24"/>
          <w:szCs w:val="24"/>
          <w:lang w:val="en-US"/>
        </w:rPr>
      </w:sdtEndPr>
      <w:sdtContent>
        <w:p>
          <w:pPr>
            <w:pStyle w:val="35"/>
            <w:spacing w:line="580" w:lineRule="exact"/>
            <w:jc w:val="center"/>
            <w:rPr>
              <w:rFonts w:ascii="Times New Roman" w:hAnsi="Times New Roman" w:eastAsia="宋体" w:cs="Times New Roman"/>
              <w:b w:val="0"/>
              <w:bCs w:val="0"/>
              <w:color w:val="000000" w:themeColor="text1"/>
              <w:kern w:val="2"/>
              <w:sz w:val="21"/>
              <w:szCs w:val="24"/>
              <w:lang w:val="zh-CN"/>
            </w:rPr>
          </w:pPr>
        </w:p>
        <w:p>
          <w:pPr>
            <w:pStyle w:val="35"/>
            <w:spacing w:line="580" w:lineRule="exact"/>
            <w:jc w:val="center"/>
            <w:rPr>
              <w:color w:val="000000" w:themeColor="text1"/>
            </w:rPr>
          </w:pPr>
          <w:r>
            <w:rPr>
              <w:color w:val="000000" w:themeColor="text1"/>
              <w:sz w:val="44"/>
              <w:szCs w:val="44"/>
              <w:lang w:val="zh-CN"/>
            </w:rPr>
            <w:t>目</w:t>
          </w:r>
          <w:r>
            <w:rPr>
              <w:rFonts w:hint="eastAsia"/>
              <w:color w:val="000000" w:themeColor="text1"/>
              <w:sz w:val="44"/>
              <w:szCs w:val="44"/>
            </w:rPr>
            <w:t xml:space="preserve">  </w:t>
          </w:r>
          <w:r>
            <w:rPr>
              <w:color w:val="000000" w:themeColor="text1"/>
              <w:sz w:val="44"/>
              <w:szCs w:val="44"/>
              <w:lang w:val="zh-CN"/>
            </w:rPr>
            <w:t>录</w:t>
          </w:r>
        </w:p>
        <w:p>
          <w:pPr>
            <w:pStyle w:val="13"/>
            <w:tabs>
              <w:tab w:val="right" w:leader="dot" w:pos="8297"/>
            </w:tabs>
            <w:spacing w:line="520" w:lineRule="exact"/>
            <w:rPr>
              <w:rFonts w:asciiTheme="minorHAnsi" w:hAnsiTheme="minorHAnsi" w:eastAsiaTheme="minorEastAsia" w:cstheme="minorBidi"/>
              <w:b w:val="0"/>
              <w:bCs w:val="0"/>
              <w:caps w:val="0"/>
              <w:color w:val="000000" w:themeColor="text1"/>
              <w:sz w:val="26"/>
              <w:szCs w:val="26"/>
            </w:rPr>
          </w:pPr>
          <w:r>
            <w:rPr>
              <w:rFonts w:asciiTheme="minorEastAsia" w:hAnsiTheme="minorEastAsia" w:eastAsiaTheme="minorEastAsia"/>
              <w:color w:val="000000" w:themeColor="text1"/>
              <w:sz w:val="26"/>
              <w:szCs w:val="26"/>
            </w:rPr>
            <w:fldChar w:fldCharType="begin"/>
          </w:r>
          <w:r>
            <w:rPr>
              <w:rFonts w:asciiTheme="minorEastAsia" w:hAnsiTheme="minorEastAsia" w:eastAsiaTheme="minorEastAsia"/>
              <w:color w:val="000000" w:themeColor="text1"/>
              <w:sz w:val="26"/>
              <w:szCs w:val="26"/>
            </w:rPr>
            <w:instrText xml:space="preserve"> TOC \o "1-3" \h \z \u </w:instrText>
          </w:r>
          <w:r>
            <w:rPr>
              <w:rFonts w:asciiTheme="minorEastAsia" w:hAnsiTheme="minorEastAsia" w:eastAsiaTheme="minorEastAsia"/>
              <w:color w:val="000000" w:themeColor="text1"/>
              <w:sz w:val="26"/>
              <w:szCs w:val="26"/>
            </w:rPr>
            <w:fldChar w:fldCharType="separate"/>
          </w:r>
          <w:r>
            <w:fldChar w:fldCharType="begin"/>
          </w:r>
          <w:r>
            <w:instrText xml:space="preserve"> HYPERLINK \l "_Toc90910474" </w:instrText>
          </w:r>
          <w:r>
            <w:fldChar w:fldCharType="separate"/>
          </w:r>
          <w:r>
            <w:rPr>
              <w:rStyle w:val="21"/>
              <w:rFonts w:hint="eastAsia" w:ascii="方正小标宋_GBK" w:eastAsia="方正小标宋_GBK"/>
              <w:color w:val="000000" w:themeColor="text1"/>
              <w:kern w:val="0"/>
              <w:sz w:val="26"/>
              <w:szCs w:val="26"/>
            </w:rPr>
            <w:t>第一章 总体要求</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_Toc90910474 \h </w:instrText>
          </w:r>
          <w:r>
            <w:rPr>
              <w:color w:val="000000" w:themeColor="text1"/>
              <w:sz w:val="26"/>
              <w:szCs w:val="26"/>
            </w:rPr>
            <w:fldChar w:fldCharType="separate"/>
          </w:r>
          <w:r>
            <w:rPr>
              <w:color w:val="000000" w:themeColor="text1"/>
              <w:sz w:val="26"/>
              <w:szCs w:val="26"/>
            </w:rPr>
            <w:t>1</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"_Toc90910475" </w:instrText>
          </w:r>
          <w:r>
            <w:fldChar w:fldCharType="separate"/>
          </w:r>
          <w:r>
            <w:rPr>
              <w:rStyle w:val="21"/>
              <w:rFonts w:hint="eastAsia" w:ascii="方正黑体_GBK" w:eastAsia="方正黑体_GBK"/>
              <w:bCs/>
              <w:color w:val="000000" w:themeColor="text1"/>
              <w:kern w:val="0"/>
              <w:sz w:val="26"/>
              <w:szCs w:val="26"/>
            </w:rPr>
            <w:t>第一节 发展环境</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_Toc90910475 \h </w:instrText>
          </w:r>
          <w:r>
            <w:rPr>
              <w:color w:val="000000" w:themeColor="text1"/>
              <w:sz w:val="26"/>
              <w:szCs w:val="26"/>
            </w:rPr>
            <w:fldChar w:fldCharType="separate"/>
          </w:r>
          <w:r>
            <w:rPr>
              <w:color w:val="000000" w:themeColor="text1"/>
              <w:sz w:val="26"/>
              <w:szCs w:val="26"/>
            </w:rPr>
            <w:t>1</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"_Toc90910480" </w:instrText>
          </w:r>
          <w:r>
            <w:fldChar w:fldCharType="separate"/>
          </w:r>
          <w:r>
            <w:rPr>
              <w:rStyle w:val="21"/>
              <w:rFonts w:hint="eastAsia" w:ascii="方正黑体_GBK" w:eastAsia="方正黑体_GBK"/>
              <w:bCs/>
              <w:color w:val="000000" w:themeColor="text1"/>
              <w:kern w:val="0"/>
              <w:sz w:val="26"/>
              <w:szCs w:val="26"/>
            </w:rPr>
            <w:t>第二节 发展基础</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_Toc90910480 \h </w:instrText>
          </w:r>
          <w:r>
            <w:rPr>
              <w:color w:val="000000" w:themeColor="text1"/>
              <w:sz w:val="26"/>
              <w:szCs w:val="26"/>
            </w:rPr>
            <w:fldChar w:fldCharType="separate"/>
          </w:r>
          <w:r>
            <w:rPr>
              <w:color w:val="000000" w:themeColor="text1"/>
              <w:sz w:val="26"/>
              <w:szCs w:val="26"/>
            </w:rPr>
            <w:t>3</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"_Toc90910483" </w:instrText>
          </w:r>
          <w:r>
            <w:fldChar w:fldCharType="separate"/>
          </w:r>
          <w:r>
            <w:rPr>
              <w:rStyle w:val="21"/>
              <w:rFonts w:hint="eastAsia" w:ascii="方正黑体_GBK" w:eastAsia="方正黑体_GBK"/>
              <w:bCs/>
              <w:color w:val="000000" w:themeColor="text1"/>
              <w:kern w:val="0"/>
              <w:sz w:val="26"/>
              <w:szCs w:val="26"/>
            </w:rPr>
            <w:t>第三节 发展机遇与形势</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_Toc90910483 \h </w:instrText>
          </w:r>
          <w:r>
            <w:rPr>
              <w:color w:val="000000" w:themeColor="text1"/>
              <w:sz w:val="26"/>
              <w:szCs w:val="26"/>
            </w:rPr>
            <w:fldChar w:fldCharType="separate"/>
          </w:r>
          <w:r>
            <w:rPr>
              <w:color w:val="000000" w:themeColor="text1"/>
              <w:sz w:val="26"/>
              <w:szCs w:val="26"/>
            </w:rPr>
            <w:t>9</w:t>
          </w:r>
          <w:r>
            <w:rPr>
              <w:color w:val="000000" w:themeColor="text1"/>
              <w:sz w:val="26"/>
              <w:szCs w:val="26"/>
            </w:rPr>
            <w:fldChar w:fldCharType="end"/>
          </w:r>
          <w:r>
            <w:rPr>
              <w:color w:val="000000" w:themeColor="text1"/>
              <w:sz w:val="26"/>
              <w:szCs w:val="26"/>
            </w:rPr>
            <w:fldChar w:fldCharType="end"/>
          </w:r>
        </w:p>
        <w:p>
          <w:pPr>
            <w:pStyle w:val="13"/>
            <w:tabs>
              <w:tab w:val="right" w:leader="dot" w:pos="8297"/>
            </w:tabs>
            <w:spacing w:line="520" w:lineRule="exact"/>
            <w:rPr>
              <w:rFonts w:asciiTheme="minorHAnsi" w:hAnsiTheme="minorHAnsi" w:eastAsiaTheme="minorEastAsia" w:cstheme="minorBidi"/>
              <w:b w:val="0"/>
              <w:bCs w:val="0"/>
              <w:caps w:val="0"/>
              <w:color w:val="000000" w:themeColor="text1"/>
              <w:sz w:val="26"/>
              <w:szCs w:val="26"/>
            </w:rPr>
          </w:pPr>
          <w:r>
            <w:fldChar w:fldCharType="begin"/>
          </w:r>
          <w:r>
            <w:instrText xml:space="preserve"> HYPERLINK \l "_Toc90910486" </w:instrText>
          </w:r>
          <w:r>
            <w:fldChar w:fldCharType="separate"/>
          </w:r>
          <w:r>
            <w:rPr>
              <w:rStyle w:val="21"/>
              <w:rFonts w:hint="eastAsia" w:ascii="方正小标宋_GBK" w:eastAsia="方正小标宋_GBK"/>
              <w:color w:val="000000" w:themeColor="text1"/>
              <w:kern w:val="0"/>
              <w:sz w:val="26"/>
              <w:szCs w:val="26"/>
            </w:rPr>
            <w:t>第二章 总体思路和发展目标</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_Toc90910486 \h </w:instrText>
          </w:r>
          <w:r>
            <w:rPr>
              <w:color w:val="000000" w:themeColor="text1"/>
              <w:sz w:val="26"/>
              <w:szCs w:val="26"/>
            </w:rPr>
            <w:fldChar w:fldCharType="separate"/>
          </w:r>
          <w:r>
            <w:rPr>
              <w:color w:val="000000" w:themeColor="text1"/>
              <w:sz w:val="26"/>
              <w:szCs w:val="26"/>
            </w:rPr>
            <w:t>11</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"_Toc90910487" </w:instrText>
          </w:r>
          <w:r>
            <w:fldChar w:fldCharType="separate"/>
          </w:r>
          <w:r>
            <w:rPr>
              <w:rStyle w:val="21"/>
              <w:rFonts w:hint="eastAsia" w:ascii="方正黑体_GBK" w:eastAsia="方正黑体_GBK"/>
              <w:color w:val="000000" w:themeColor="text1"/>
              <w:kern w:val="0"/>
              <w:sz w:val="26"/>
              <w:szCs w:val="26"/>
            </w:rPr>
            <w:t>第一节 指导思想</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_Toc90910487 \h </w:instrText>
          </w:r>
          <w:r>
            <w:rPr>
              <w:color w:val="000000" w:themeColor="text1"/>
              <w:sz w:val="26"/>
              <w:szCs w:val="26"/>
            </w:rPr>
            <w:fldChar w:fldCharType="separate"/>
          </w:r>
          <w:r>
            <w:rPr>
              <w:color w:val="000000" w:themeColor="text1"/>
              <w:sz w:val="26"/>
              <w:szCs w:val="26"/>
            </w:rPr>
            <w:t>11</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"_Toc90910488" </w:instrText>
          </w:r>
          <w:r>
            <w:fldChar w:fldCharType="separate"/>
          </w:r>
          <w:r>
            <w:rPr>
              <w:rStyle w:val="21"/>
              <w:rFonts w:hint="eastAsia" w:ascii="方正黑体_GBK" w:eastAsia="方正黑体_GBK"/>
              <w:bCs/>
              <w:color w:val="000000" w:themeColor="text1"/>
              <w:kern w:val="0"/>
              <w:sz w:val="26"/>
              <w:szCs w:val="26"/>
            </w:rPr>
            <w:t>第二节 基本原则</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_Toc90910488 \h </w:instrText>
          </w:r>
          <w:r>
            <w:rPr>
              <w:color w:val="000000" w:themeColor="text1"/>
              <w:sz w:val="26"/>
              <w:szCs w:val="26"/>
            </w:rPr>
            <w:fldChar w:fldCharType="separate"/>
          </w:r>
          <w:r>
            <w:rPr>
              <w:color w:val="000000" w:themeColor="text1"/>
              <w:sz w:val="26"/>
              <w:szCs w:val="26"/>
            </w:rPr>
            <w:t>12</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"_Toc90910489" </w:instrText>
          </w:r>
          <w:r>
            <w:fldChar w:fldCharType="separate"/>
          </w:r>
          <w:r>
            <w:rPr>
              <w:rStyle w:val="21"/>
              <w:rFonts w:hint="eastAsia" w:ascii="方正黑体_GBK" w:eastAsia="方正黑体_GBK"/>
              <w:bCs/>
              <w:color w:val="000000" w:themeColor="text1"/>
              <w:kern w:val="0"/>
              <w:sz w:val="26"/>
              <w:szCs w:val="26"/>
            </w:rPr>
            <w:t>第三节 发展目标</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_Toc90910489 \h </w:instrText>
          </w:r>
          <w:r>
            <w:rPr>
              <w:color w:val="000000" w:themeColor="text1"/>
              <w:sz w:val="26"/>
              <w:szCs w:val="26"/>
            </w:rPr>
            <w:fldChar w:fldCharType="separate"/>
          </w:r>
          <w:r>
            <w:rPr>
              <w:color w:val="000000" w:themeColor="text1"/>
              <w:sz w:val="26"/>
              <w:szCs w:val="26"/>
            </w:rPr>
            <w:t>14</w:t>
          </w:r>
          <w:r>
            <w:rPr>
              <w:color w:val="000000" w:themeColor="text1"/>
              <w:sz w:val="26"/>
              <w:szCs w:val="26"/>
            </w:rPr>
            <w:fldChar w:fldCharType="end"/>
          </w:r>
          <w:r>
            <w:rPr>
              <w:color w:val="000000" w:themeColor="text1"/>
              <w:sz w:val="26"/>
              <w:szCs w:val="26"/>
            </w:rPr>
            <w:fldChar w:fldCharType="end"/>
          </w:r>
        </w:p>
        <w:p>
          <w:pPr>
            <w:pStyle w:val="13"/>
            <w:tabs>
              <w:tab w:val="right" w:leader="dot" w:pos="8297"/>
            </w:tabs>
            <w:spacing w:line="520" w:lineRule="exact"/>
            <w:rPr>
              <w:rFonts w:asciiTheme="minorHAnsi" w:hAnsiTheme="minorHAnsi" w:eastAsiaTheme="minorEastAsia" w:cstheme="minorBidi"/>
              <w:b w:val="0"/>
              <w:bCs w:val="0"/>
              <w:caps w:val="0"/>
              <w:color w:val="000000" w:themeColor="text1"/>
              <w:sz w:val="26"/>
              <w:szCs w:val="26"/>
            </w:rPr>
          </w:pPr>
          <w:r>
            <w:fldChar w:fldCharType="begin"/>
          </w:r>
          <w:r>
            <w:instrText xml:space="preserve"> HYPERLINK \l "_Toc90910492" </w:instrText>
          </w:r>
          <w:r>
            <w:fldChar w:fldCharType="separate"/>
          </w:r>
          <w:r>
            <w:rPr>
              <w:rStyle w:val="21"/>
              <w:rFonts w:hint="eastAsia" w:ascii="方正小标宋_GBK" w:eastAsia="方正小标宋_GBK"/>
              <w:color w:val="000000" w:themeColor="text1"/>
              <w:kern w:val="0"/>
              <w:sz w:val="26"/>
              <w:szCs w:val="26"/>
            </w:rPr>
            <w:t>第三章 战略任务和重大举措</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_Toc90910492 \h </w:instrText>
          </w:r>
          <w:r>
            <w:rPr>
              <w:color w:val="000000" w:themeColor="text1"/>
              <w:sz w:val="26"/>
              <w:szCs w:val="26"/>
            </w:rPr>
            <w:fldChar w:fldCharType="separate"/>
          </w:r>
          <w:r>
            <w:rPr>
              <w:color w:val="000000" w:themeColor="text1"/>
              <w:sz w:val="26"/>
              <w:szCs w:val="26"/>
            </w:rPr>
            <w:t>19</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"_Toc90910493" </w:instrText>
          </w:r>
          <w:r>
            <w:fldChar w:fldCharType="separate"/>
          </w:r>
          <w:r>
            <w:rPr>
              <w:rStyle w:val="21"/>
              <w:rFonts w:hint="eastAsia" w:ascii="方正黑体_GBK" w:eastAsia="方正黑体_GBK"/>
              <w:b/>
              <w:bCs/>
              <w:color w:val="000000" w:themeColor="text1"/>
              <w:kern w:val="0"/>
              <w:sz w:val="26"/>
              <w:szCs w:val="26"/>
            </w:rPr>
            <w:t>第一节 建立互联互通的城市交通网络</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_Toc90910493 \h </w:instrText>
          </w:r>
          <w:r>
            <w:rPr>
              <w:color w:val="000000" w:themeColor="text1"/>
              <w:sz w:val="26"/>
              <w:szCs w:val="26"/>
            </w:rPr>
            <w:fldChar w:fldCharType="separate"/>
          </w:r>
          <w:r>
            <w:rPr>
              <w:color w:val="000000" w:themeColor="text1"/>
              <w:sz w:val="26"/>
              <w:szCs w:val="26"/>
            </w:rPr>
            <w:t>19</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"_Toc90910494" </w:instrText>
          </w:r>
          <w:r>
            <w:fldChar w:fldCharType="separate"/>
          </w:r>
          <w:r>
            <w:rPr>
              <w:rStyle w:val="21"/>
              <w:rFonts w:hint="eastAsia" w:ascii="方正黑体_GBK" w:eastAsia="方正黑体_GBK"/>
              <w:color w:val="000000" w:themeColor="text1"/>
              <w:sz w:val="26"/>
              <w:szCs w:val="26"/>
            </w:rPr>
            <w:t>一、快速推进对外交通设施</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_Toc90910494 \h </w:instrText>
          </w:r>
          <w:r>
            <w:rPr>
              <w:color w:val="000000" w:themeColor="text1"/>
              <w:sz w:val="26"/>
              <w:szCs w:val="26"/>
            </w:rPr>
            <w:fldChar w:fldCharType="separate"/>
          </w:r>
          <w:r>
            <w:rPr>
              <w:color w:val="000000" w:themeColor="text1"/>
              <w:sz w:val="26"/>
              <w:szCs w:val="26"/>
            </w:rPr>
            <w:t>19</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"_Toc90910495" </w:instrText>
          </w:r>
          <w:r>
            <w:fldChar w:fldCharType="separate"/>
          </w:r>
          <w:r>
            <w:rPr>
              <w:rStyle w:val="21"/>
              <w:rFonts w:hint="eastAsia" w:ascii="方正黑体_GBK" w:eastAsia="方正黑体_GBK"/>
              <w:color w:val="000000" w:themeColor="text1"/>
              <w:sz w:val="26"/>
              <w:szCs w:val="26"/>
            </w:rPr>
            <w:t>二、大力完善城市交通设施</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_Toc90910495 \h </w:instrText>
          </w:r>
          <w:r>
            <w:rPr>
              <w:color w:val="000000" w:themeColor="text1"/>
              <w:sz w:val="26"/>
              <w:szCs w:val="26"/>
            </w:rPr>
            <w:fldChar w:fldCharType="separate"/>
          </w:r>
          <w:r>
            <w:rPr>
              <w:color w:val="000000" w:themeColor="text1"/>
              <w:sz w:val="26"/>
              <w:szCs w:val="26"/>
            </w:rPr>
            <w:t>21</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"_Toc90910496" </w:instrText>
          </w:r>
          <w:r>
            <w:fldChar w:fldCharType="separate"/>
          </w:r>
          <w:r>
            <w:rPr>
              <w:rStyle w:val="21"/>
              <w:rFonts w:hint="eastAsia" w:ascii="方正黑体_GBK" w:eastAsia="方正黑体_GBK"/>
              <w:color w:val="000000" w:themeColor="text1"/>
              <w:sz w:val="26"/>
              <w:szCs w:val="26"/>
            </w:rPr>
            <w:t>三、全面提速公共停车场建设</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_Toc90910496 \h </w:instrText>
          </w:r>
          <w:r>
            <w:rPr>
              <w:color w:val="000000" w:themeColor="text1"/>
              <w:sz w:val="26"/>
              <w:szCs w:val="26"/>
            </w:rPr>
            <w:fldChar w:fldCharType="separate"/>
          </w:r>
          <w:r>
            <w:rPr>
              <w:color w:val="000000" w:themeColor="text1"/>
              <w:sz w:val="26"/>
              <w:szCs w:val="26"/>
            </w:rPr>
            <w:t>27</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"_Toc90910497" </w:instrText>
          </w:r>
          <w:r>
            <w:fldChar w:fldCharType="separate"/>
          </w:r>
          <w:r>
            <w:rPr>
              <w:rStyle w:val="21"/>
              <w:rFonts w:hint="eastAsia" w:ascii="方正黑体_GBK" w:eastAsia="方正黑体_GBK"/>
              <w:b/>
              <w:bCs/>
              <w:color w:val="000000" w:themeColor="text1"/>
              <w:kern w:val="0"/>
              <w:sz w:val="26"/>
              <w:szCs w:val="26"/>
            </w:rPr>
            <w:t>第二节 健全均衡高效的能源保障体系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_Toc90910497 \h </w:instrText>
          </w:r>
          <w:r>
            <w:rPr>
              <w:color w:val="000000" w:themeColor="text1"/>
              <w:sz w:val="26"/>
              <w:szCs w:val="26"/>
            </w:rPr>
            <w:fldChar w:fldCharType="separate"/>
          </w:r>
          <w:r>
            <w:rPr>
              <w:color w:val="000000" w:themeColor="text1"/>
              <w:sz w:val="26"/>
              <w:szCs w:val="26"/>
            </w:rPr>
            <w:t>29</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"_Toc90910498" </w:instrText>
          </w:r>
          <w:r>
            <w:fldChar w:fldCharType="separate"/>
          </w:r>
          <w:r>
            <w:rPr>
              <w:rStyle w:val="21"/>
              <w:rFonts w:hint="eastAsia" w:ascii="方正黑体_GBK" w:eastAsia="方正黑体_GBK"/>
              <w:color w:val="000000" w:themeColor="text1"/>
              <w:sz w:val="26"/>
              <w:szCs w:val="26"/>
            </w:rPr>
            <w:t>一、完善电力运行基础设施体系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_Toc90910498 \h </w:instrText>
          </w:r>
          <w:r>
            <w:rPr>
              <w:color w:val="000000" w:themeColor="text1"/>
              <w:sz w:val="26"/>
              <w:szCs w:val="26"/>
            </w:rPr>
            <w:fldChar w:fldCharType="separate"/>
          </w:r>
          <w:r>
            <w:rPr>
              <w:color w:val="000000" w:themeColor="text1"/>
              <w:sz w:val="26"/>
              <w:szCs w:val="26"/>
            </w:rPr>
            <w:t>29</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"_Toc90910499" </w:instrText>
          </w:r>
          <w:r>
            <w:fldChar w:fldCharType="separate"/>
          </w:r>
          <w:r>
            <w:rPr>
              <w:rStyle w:val="21"/>
              <w:rFonts w:hint="eastAsia" w:ascii="方正黑体_GBK" w:eastAsia="方正黑体_GBK"/>
              <w:color w:val="000000" w:themeColor="text1"/>
              <w:sz w:val="26"/>
              <w:szCs w:val="26"/>
            </w:rPr>
            <w:t>二、提升燃气保障基础设施体系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_Toc90910499 \h </w:instrText>
          </w:r>
          <w:r>
            <w:rPr>
              <w:color w:val="000000" w:themeColor="text1"/>
              <w:sz w:val="26"/>
              <w:szCs w:val="26"/>
            </w:rPr>
            <w:fldChar w:fldCharType="separate"/>
          </w:r>
          <w:r>
            <w:rPr>
              <w:color w:val="000000" w:themeColor="text1"/>
              <w:sz w:val="26"/>
              <w:szCs w:val="26"/>
            </w:rPr>
            <w:t>32</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b/>
              <w:smallCaps w:val="0"/>
              <w:color w:val="000000" w:themeColor="text1"/>
              <w:sz w:val="26"/>
              <w:szCs w:val="26"/>
            </w:rPr>
          </w:pPr>
          <w:r>
            <w:fldChar w:fldCharType="begin"/>
          </w:r>
          <w:r>
            <w:instrText xml:space="preserve"> HYPERLINK \l "_Toc90910500" </w:instrText>
          </w:r>
          <w:r>
            <w:fldChar w:fldCharType="separate"/>
          </w:r>
          <w:r>
            <w:rPr>
              <w:rStyle w:val="21"/>
              <w:rFonts w:hint="eastAsia" w:ascii="方正黑体_GBK" w:eastAsia="方正黑体_GBK"/>
              <w:b/>
              <w:color w:val="000000" w:themeColor="text1"/>
              <w:kern w:val="0"/>
              <w:sz w:val="26"/>
              <w:szCs w:val="26"/>
            </w:rPr>
            <w:t>第三节 构建环境友好的市政环卫体系</w:t>
          </w:r>
          <w:r>
            <w:rPr>
              <w:b/>
              <w:color w:val="000000" w:themeColor="text1"/>
              <w:sz w:val="26"/>
              <w:szCs w:val="26"/>
            </w:rPr>
            <w:tab/>
          </w:r>
          <w:r>
            <w:rPr>
              <w:b/>
              <w:color w:val="000000" w:themeColor="text1"/>
              <w:sz w:val="26"/>
              <w:szCs w:val="26"/>
            </w:rPr>
            <w:fldChar w:fldCharType="begin"/>
          </w:r>
          <w:r>
            <w:rPr>
              <w:b/>
              <w:color w:val="000000" w:themeColor="text1"/>
              <w:sz w:val="26"/>
              <w:szCs w:val="26"/>
            </w:rPr>
            <w:instrText xml:space="preserve"> PAGEREF _Toc90910500 \h </w:instrText>
          </w:r>
          <w:r>
            <w:rPr>
              <w:b/>
              <w:color w:val="000000" w:themeColor="text1"/>
              <w:sz w:val="26"/>
              <w:szCs w:val="26"/>
            </w:rPr>
            <w:fldChar w:fldCharType="separate"/>
          </w:r>
          <w:r>
            <w:rPr>
              <w:b/>
              <w:color w:val="000000" w:themeColor="text1"/>
              <w:sz w:val="26"/>
              <w:szCs w:val="26"/>
            </w:rPr>
            <w:t>33</w:t>
          </w:r>
          <w:r>
            <w:rPr>
              <w:b/>
              <w:color w:val="000000" w:themeColor="text1"/>
              <w:sz w:val="26"/>
              <w:szCs w:val="26"/>
            </w:rPr>
            <w:fldChar w:fldCharType="end"/>
          </w:r>
          <w:r>
            <w:rPr>
              <w:b/>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"_Toc90910501" </w:instrText>
          </w:r>
          <w:r>
            <w:fldChar w:fldCharType="separate"/>
          </w:r>
          <w:r>
            <w:rPr>
              <w:rStyle w:val="21"/>
              <w:rFonts w:hint="eastAsia" w:ascii="方正黑体_GBK" w:eastAsia="方正黑体_GBK"/>
              <w:color w:val="000000" w:themeColor="text1"/>
              <w:sz w:val="26"/>
              <w:szCs w:val="26"/>
            </w:rPr>
            <w:t>一、提升水安全保障能力</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_Toc90910501 \h </w:instrText>
          </w:r>
          <w:r>
            <w:rPr>
              <w:color w:val="000000" w:themeColor="text1"/>
              <w:sz w:val="26"/>
              <w:szCs w:val="26"/>
            </w:rPr>
            <w:fldChar w:fldCharType="separate"/>
          </w:r>
          <w:r>
            <w:rPr>
              <w:color w:val="000000" w:themeColor="text1"/>
              <w:sz w:val="26"/>
              <w:szCs w:val="26"/>
            </w:rPr>
            <w:t>33</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"_Toc90910502" </w:instrText>
          </w:r>
          <w:r>
            <w:fldChar w:fldCharType="separate"/>
          </w:r>
          <w:r>
            <w:rPr>
              <w:rStyle w:val="21"/>
              <w:rFonts w:hint="eastAsia" w:ascii="方正黑体_GBK" w:eastAsia="方正黑体_GBK"/>
              <w:color w:val="000000" w:themeColor="text1"/>
              <w:sz w:val="26"/>
              <w:szCs w:val="26"/>
            </w:rPr>
            <w:t>二、推进城市排水设施建设</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_Toc90910502 \h </w:instrText>
          </w:r>
          <w:r>
            <w:rPr>
              <w:color w:val="000000" w:themeColor="text1"/>
              <w:sz w:val="26"/>
              <w:szCs w:val="26"/>
            </w:rPr>
            <w:fldChar w:fldCharType="separate"/>
          </w:r>
          <w:r>
            <w:rPr>
              <w:color w:val="000000" w:themeColor="text1"/>
              <w:sz w:val="26"/>
              <w:szCs w:val="26"/>
            </w:rPr>
            <w:t>35</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"_Toc90910503" </w:instrText>
          </w:r>
          <w:r>
            <w:fldChar w:fldCharType="separate"/>
          </w:r>
          <w:r>
            <w:rPr>
              <w:rStyle w:val="21"/>
              <w:rFonts w:hint="eastAsia" w:ascii="方正黑体_GBK" w:eastAsia="方正黑体_GBK"/>
              <w:color w:val="000000" w:themeColor="text1"/>
              <w:sz w:val="26"/>
              <w:szCs w:val="26"/>
            </w:rPr>
            <w:t>三、提高城市污水处理能力</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_Toc90910503 \h </w:instrText>
          </w:r>
          <w:r>
            <w:rPr>
              <w:color w:val="000000" w:themeColor="text1"/>
              <w:sz w:val="26"/>
              <w:szCs w:val="26"/>
            </w:rPr>
            <w:fldChar w:fldCharType="separate"/>
          </w:r>
          <w:r>
            <w:rPr>
              <w:color w:val="000000" w:themeColor="text1"/>
              <w:sz w:val="26"/>
              <w:szCs w:val="26"/>
            </w:rPr>
            <w:t>38</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"_Toc90910504" </w:instrText>
          </w:r>
          <w:r>
            <w:fldChar w:fldCharType="separate"/>
          </w:r>
          <w:r>
            <w:rPr>
              <w:rStyle w:val="21"/>
              <w:rFonts w:hint="eastAsia" w:ascii="方正黑体_GBK" w:eastAsia="方正黑体_GBK"/>
              <w:color w:val="000000" w:themeColor="text1"/>
              <w:sz w:val="26"/>
              <w:szCs w:val="26"/>
            </w:rPr>
            <w:t>四、推进环境卫生工程系统建设</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_Toc90910504 \h </w:instrText>
          </w:r>
          <w:r>
            <w:rPr>
              <w:color w:val="000000" w:themeColor="text1"/>
              <w:sz w:val="26"/>
              <w:szCs w:val="26"/>
            </w:rPr>
            <w:fldChar w:fldCharType="separate"/>
          </w:r>
          <w:r>
            <w:rPr>
              <w:color w:val="000000" w:themeColor="text1"/>
              <w:sz w:val="26"/>
              <w:szCs w:val="26"/>
            </w:rPr>
            <w:t>39</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b/>
              <w:color w:val="000000" w:themeColor="text1"/>
              <w:sz w:val="26"/>
              <w:szCs w:val="26"/>
            </w:rPr>
          </w:pPr>
          <w:r>
            <w:fldChar w:fldCharType="begin"/>
          </w:r>
          <w:r>
            <w:instrText xml:space="preserve"> HYPERLINK \l "_Toc90910505" </w:instrText>
          </w:r>
          <w:r>
            <w:fldChar w:fldCharType="separate"/>
          </w:r>
          <w:r>
            <w:rPr>
              <w:rStyle w:val="21"/>
              <w:rFonts w:hint="eastAsia" w:ascii="方正黑体_GBK" w:eastAsia="方正黑体_GBK"/>
              <w:b/>
              <w:color w:val="000000" w:themeColor="text1"/>
              <w:kern w:val="0"/>
              <w:sz w:val="26"/>
              <w:szCs w:val="26"/>
            </w:rPr>
            <w:t>第四节 全面提升城市品质及生活环境</w:t>
          </w:r>
          <w:r>
            <w:rPr>
              <w:b/>
              <w:color w:val="000000" w:themeColor="text1"/>
              <w:sz w:val="26"/>
              <w:szCs w:val="26"/>
            </w:rPr>
            <w:tab/>
          </w:r>
          <w:r>
            <w:rPr>
              <w:b/>
              <w:color w:val="000000" w:themeColor="text1"/>
              <w:sz w:val="26"/>
              <w:szCs w:val="26"/>
            </w:rPr>
            <w:fldChar w:fldCharType="begin"/>
          </w:r>
          <w:r>
            <w:rPr>
              <w:b/>
              <w:color w:val="000000" w:themeColor="text1"/>
              <w:sz w:val="26"/>
              <w:szCs w:val="26"/>
            </w:rPr>
            <w:instrText xml:space="preserve"> PAGEREF _Toc90910505 \h </w:instrText>
          </w:r>
          <w:r>
            <w:rPr>
              <w:b/>
              <w:color w:val="000000" w:themeColor="text1"/>
              <w:sz w:val="26"/>
              <w:szCs w:val="26"/>
            </w:rPr>
            <w:fldChar w:fldCharType="separate"/>
          </w:r>
          <w:r>
            <w:rPr>
              <w:b/>
              <w:color w:val="000000" w:themeColor="text1"/>
              <w:sz w:val="26"/>
              <w:szCs w:val="26"/>
            </w:rPr>
            <w:t>41</w:t>
          </w:r>
          <w:r>
            <w:rPr>
              <w:b/>
              <w:color w:val="000000" w:themeColor="text1"/>
              <w:sz w:val="26"/>
              <w:szCs w:val="26"/>
            </w:rPr>
            <w:fldChar w:fldCharType="end"/>
          </w:r>
          <w:r>
            <w:rPr>
              <w:b/>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"_Toc90910506" </w:instrText>
          </w:r>
          <w:r>
            <w:fldChar w:fldCharType="separate"/>
          </w:r>
          <w:r>
            <w:rPr>
              <w:rStyle w:val="21"/>
              <w:rFonts w:hint="eastAsia" w:ascii="方正黑体_GBK" w:eastAsia="方正黑体_GBK"/>
              <w:color w:val="000000" w:themeColor="text1"/>
              <w:sz w:val="26"/>
              <w:szCs w:val="26"/>
            </w:rPr>
            <w:t>一、打造自然循环的“海绵城市”</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_Toc90910506 \h </w:instrText>
          </w:r>
          <w:r>
            <w:rPr>
              <w:color w:val="000000" w:themeColor="text1"/>
              <w:sz w:val="26"/>
              <w:szCs w:val="26"/>
            </w:rPr>
            <w:fldChar w:fldCharType="separate"/>
          </w:r>
          <w:r>
            <w:rPr>
              <w:color w:val="000000" w:themeColor="text1"/>
              <w:sz w:val="26"/>
              <w:szCs w:val="26"/>
            </w:rPr>
            <w:t>41</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"_Toc90910507" </w:instrText>
          </w:r>
          <w:r>
            <w:fldChar w:fldCharType="separate"/>
          </w:r>
          <w:r>
            <w:rPr>
              <w:rStyle w:val="21"/>
              <w:rFonts w:hint="eastAsia" w:ascii="方正黑体_GBK" w:eastAsia="方正黑体_GBK"/>
              <w:color w:val="000000" w:themeColor="text1"/>
              <w:sz w:val="26"/>
              <w:szCs w:val="26"/>
            </w:rPr>
            <w:t>二、建设集约高效的城市综合管廊</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_Toc90910507 \h </w:instrText>
          </w:r>
          <w:r>
            <w:rPr>
              <w:color w:val="000000" w:themeColor="text1"/>
              <w:sz w:val="26"/>
              <w:szCs w:val="26"/>
            </w:rPr>
            <w:fldChar w:fldCharType="separate"/>
          </w:r>
          <w:r>
            <w:rPr>
              <w:color w:val="000000" w:themeColor="text1"/>
              <w:sz w:val="26"/>
              <w:szCs w:val="26"/>
            </w:rPr>
            <w:t>44</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"_Toc90910508" </w:instrText>
          </w:r>
          <w:r>
            <w:fldChar w:fldCharType="separate"/>
          </w:r>
          <w:r>
            <w:rPr>
              <w:rStyle w:val="21"/>
              <w:rFonts w:hint="eastAsia" w:ascii="方正黑体_GBK" w:eastAsia="方正黑体_GBK"/>
              <w:color w:val="000000" w:themeColor="text1"/>
              <w:sz w:val="26"/>
              <w:szCs w:val="26"/>
            </w:rPr>
            <w:t>三、推动园林绿化高质量建设</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_Toc90910508 \h </w:instrText>
          </w:r>
          <w:r>
            <w:rPr>
              <w:color w:val="000000" w:themeColor="text1"/>
              <w:sz w:val="26"/>
              <w:szCs w:val="26"/>
            </w:rPr>
            <w:fldChar w:fldCharType="separate"/>
          </w:r>
          <w:r>
            <w:rPr>
              <w:color w:val="000000" w:themeColor="text1"/>
              <w:sz w:val="26"/>
              <w:szCs w:val="26"/>
            </w:rPr>
            <w:t>45</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"_Toc90910509" </w:instrText>
          </w:r>
          <w:r>
            <w:fldChar w:fldCharType="separate"/>
          </w:r>
          <w:r>
            <w:rPr>
              <w:rStyle w:val="21"/>
              <w:rFonts w:hint="eastAsia" w:ascii="方正黑体_GBK" w:eastAsia="方正黑体_GBK"/>
              <w:color w:val="000000" w:themeColor="text1"/>
              <w:sz w:val="26"/>
              <w:szCs w:val="26"/>
            </w:rPr>
            <w:t>四、推进“清水绿岸”治理提升</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_Toc90910509 \h </w:instrText>
          </w:r>
          <w:r>
            <w:rPr>
              <w:color w:val="000000" w:themeColor="text1"/>
              <w:sz w:val="26"/>
              <w:szCs w:val="26"/>
            </w:rPr>
            <w:fldChar w:fldCharType="separate"/>
          </w:r>
          <w:r>
            <w:rPr>
              <w:color w:val="000000" w:themeColor="text1"/>
              <w:sz w:val="26"/>
              <w:szCs w:val="26"/>
            </w:rPr>
            <w:t>46</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"_Toc90910510" </w:instrText>
          </w:r>
          <w:r>
            <w:fldChar w:fldCharType="separate"/>
          </w:r>
          <w:r>
            <w:rPr>
              <w:rStyle w:val="21"/>
              <w:rFonts w:hint="eastAsia" w:ascii="方正黑体_GBK" w:eastAsia="方正黑体_GBK"/>
              <w:color w:val="000000" w:themeColor="text1"/>
              <w:sz w:val="26"/>
              <w:szCs w:val="26"/>
            </w:rPr>
            <w:t>五、高标准推进城市更新</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_Toc90910510 \h </w:instrText>
          </w:r>
          <w:r>
            <w:rPr>
              <w:color w:val="000000" w:themeColor="text1"/>
              <w:sz w:val="26"/>
              <w:szCs w:val="26"/>
            </w:rPr>
            <w:fldChar w:fldCharType="separate"/>
          </w:r>
          <w:r>
            <w:rPr>
              <w:color w:val="000000" w:themeColor="text1"/>
              <w:sz w:val="26"/>
              <w:szCs w:val="26"/>
            </w:rPr>
            <w:t>48</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b/>
              <w:smallCaps w:val="0"/>
              <w:color w:val="000000" w:themeColor="text1"/>
              <w:sz w:val="26"/>
              <w:szCs w:val="26"/>
            </w:rPr>
          </w:pPr>
          <w:r>
            <w:fldChar w:fldCharType="begin"/>
          </w:r>
          <w:r>
            <w:instrText xml:space="preserve"> HYPERLINK \l "_Toc90910511" </w:instrText>
          </w:r>
          <w:r>
            <w:fldChar w:fldCharType="separate"/>
          </w:r>
          <w:r>
            <w:rPr>
              <w:rStyle w:val="21"/>
              <w:rFonts w:hint="eastAsia" w:ascii="方正黑体_GBK" w:eastAsia="方正黑体_GBK"/>
              <w:b/>
              <w:color w:val="000000" w:themeColor="text1"/>
              <w:kern w:val="0"/>
              <w:sz w:val="26"/>
              <w:szCs w:val="26"/>
            </w:rPr>
            <w:t>第五节 布局新型城市智慧基础设施</w:t>
          </w:r>
          <w:r>
            <w:rPr>
              <w:b/>
              <w:color w:val="000000" w:themeColor="text1"/>
              <w:sz w:val="26"/>
              <w:szCs w:val="26"/>
            </w:rPr>
            <w:tab/>
          </w:r>
          <w:r>
            <w:rPr>
              <w:b/>
              <w:color w:val="000000" w:themeColor="text1"/>
              <w:sz w:val="26"/>
              <w:szCs w:val="26"/>
            </w:rPr>
            <w:fldChar w:fldCharType="begin"/>
          </w:r>
          <w:r>
            <w:rPr>
              <w:b/>
              <w:color w:val="000000" w:themeColor="text1"/>
              <w:sz w:val="26"/>
              <w:szCs w:val="26"/>
            </w:rPr>
            <w:instrText xml:space="preserve"> PAGEREF _Toc90910511 \h </w:instrText>
          </w:r>
          <w:r>
            <w:rPr>
              <w:b/>
              <w:color w:val="000000" w:themeColor="text1"/>
              <w:sz w:val="26"/>
              <w:szCs w:val="26"/>
            </w:rPr>
            <w:fldChar w:fldCharType="separate"/>
          </w:r>
          <w:r>
            <w:rPr>
              <w:b/>
              <w:color w:val="000000" w:themeColor="text1"/>
              <w:sz w:val="26"/>
              <w:szCs w:val="26"/>
            </w:rPr>
            <w:t>49</w:t>
          </w:r>
          <w:r>
            <w:rPr>
              <w:b/>
              <w:color w:val="000000" w:themeColor="text1"/>
              <w:sz w:val="26"/>
              <w:szCs w:val="26"/>
            </w:rPr>
            <w:fldChar w:fldCharType="end"/>
          </w:r>
          <w:r>
            <w:rPr>
              <w:b/>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"_Toc90910512" </w:instrText>
          </w:r>
          <w:r>
            <w:fldChar w:fldCharType="separate"/>
          </w:r>
          <w:r>
            <w:rPr>
              <w:rStyle w:val="21"/>
              <w:rFonts w:hint="eastAsia" w:ascii="方正黑体_GBK" w:eastAsia="方正黑体_GBK"/>
              <w:color w:val="000000" w:themeColor="text1"/>
              <w:sz w:val="26"/>
              <w:szCs w:val="26"/>
            </w:rPr>
            <w:t>一、完善现代通信基础设施体系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_Toc90910512 \h </w:instrText>
          </w:r>
          <w:r>
            <w:rPr>
              <w:color w:val="000000" w:themeColor="text1"/>
              <w:sz w:val="26"/>
              <w:szCs w:val="26"/>
            </w:rPr>
            <w:fldChar w:fldCharType="separate"/>
          </w:r>
          <w:r>
            <w:rPr>
              <w:color w:val="000000" w:themeColor="text1"/>
              <w:sz w:val="26"/>
              <w:szCs w:val="26"/>
            </w:rPr>
            <w:t>49</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"_Toc90910513" </w:instrText>
          </w:r>
          <w:r>
            <w:fldChar w:fldCharType="separate"/>
          </w:r>
          <w:r>
            <w:rPr>
              <w:rStyle w:val="21"/>
              <w:rFonts w:hint="eastAsia" w:ascii="方正黑体_GBK" w:eastAsia="方正黑体_GBK"/>
              <w:color w:val="000000" w:themeColor="text1"/>
              <w:sz w:val="26"/>
              <w:szCs w:val="26"/>
            </w:rPr>
            <w:t>二、推进“智慧城市”新型基础设施建设</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_Toc90910513 \h </w:instrText>
          </w:r>
          <w:r>
            <w:rPr>
              <w:color w:val="000000" w:themeColor="text1"/>
              <w:sz w:val="26"/>
              <w:szCs w:val="26"/>
            </w:rPr>
            <w:fldChar w:fldCharType="separate"/>
          </w:r>
          <w:r>
            <w:rPr>
              <w:color w:val="000000" w:themeColor="text1"/>
              <w:sz w:val="26"/>
              <w:szCs w:val="26"/>
            </w:rPr>
            <w:t>51</w:t>
          </w:r>
          <w:r>
            <w:rPr>
              <w:color w:val="000000" w:themeColor="text1"/>
              <w:sz w:val="26"/>
              <w:szCs w:val="26"/>
            </w:rPr>
            <w:fldChar w:fldCharType="end"/>
          </w:r>
          <w:r>
            <w:rPr>
              <w:color w:val="000000" w:themeColor="text1"/>
              <w:sz w:val="26"/>
              <w:szCs w:val="26"/>
            </w:rPr>
            <w:fldChar w:fldCharType="end"/>
          </w:r>
        </w:p>
        <w:p>
          <w:pPr>
            <w:pStyle w:val="14"/>
            <w:tabs>
              <w:tab w:val="right" w:leader="dot" w:pos="8297"/>
            </w:tabs>
            <w:spacing w:line="520" w:lineRule="exact"/>
            <w:rPr>
              <w:rFonts w:asciiTheme="minorHAnsi" w:hAnsiTheme="minorHAnsi" w:eastAsiaTheme="minorEastAsia" w:cstheme="minorBidi"/>
              <w:smallCaps w:val="0"/>
              <w:color w:val="000000" w:themeColor="text1"/>
              <w:sz w:val="26"/>
              <w:szCs w:val="26"/>
            </w:rPr>
          </w:pPr>
          <w:r>
            <w:fldChar w:fldCharType="begin"/>
          </w:r>
          <w:r>
            <w:instrText xml:space="preserve"> HYPERLINK \l "_Toc90910514" </w:instrText>
          </w:r>
          <w:r>
            <w:fldChar w:fldCharType="separate"/>
          </w:r>
          <w:r>
            <w:rPr>
              <w:rStyle w:val="21"/>
              <w:rFonts w:hint="eastAsia" w:ascii="方正黑体_GBK" w:eastAsia="方正黑体_GBK"/>
              <w:b/>
              <w:bCs/>
              <w:color w:val="000000" w:themeColor="text1"/>
              <w:kern w:val="0"/>
              <w:sz w:val="26"/>
              <w:szCs w:val="26"/>
            </w:rPr>
            <w:t>第六节 构建安全可靠的防灾减灾体系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_Toc90910514 \h </w:instrText>
          </w:r>
          <w:r>
            <w:rPr>
              <w:color w:val="000000" w:themeColor="text1"/>
              <w:sz w:val="26"/>
              <w:szCs w:val="26"/>
            </w:rPr>
            <w:fldChar w:fldCharType="separate"/>
          </w:r>
          <w:r>
            <w:rPr>
              <w:color w:val="000000" w:themeColor="text1"/>
              <w:sz w:val="26"/>
              <w:szCs w:val="26"/>
            </w:rPr>
            <w:t>52</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"_Toc90910515" </w:instrText>
          </w:r>
          <w:r>
            <w:fldChar w:fldCharType="separate"/>
          </w:r>
          <w:r>
            <w:rPr>
              <w:rStyle w:val="21"/>
              <w:rFonts w:hint="eastAsia" w:ascii="方正黑体_GBK" w:eastAsia="方正黑体_GBK"/>
              <w:color w:val="000000" w:themeColor="text1"/>
              <w:sz w:val="26"/>
              <w:szCs w:val="26"/>
            </w:rPr>
            <w:t>一、统筹协调防洪减灾体系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_Toc90910515 \h </w:instrText>
          </w:r>
          <w:r>
            <w:rPr>
              <w:color w:val="000000" w:themeColor="text1"/>
              <w:sz w:val="26"/>
              <w:szCs w:val="26"/>
            </w:rPr>
            <w:fldChar w:fldCharType="separate"/>
          </w:r>
          <w:r>
            <w:rPr>
              <w:color w:val="000000" w:themeColor="text1"/>
              <w:sz w:val="26"/>
              <w:szCs w:val="26"/>
            </w:rPr>
            <w:t>52</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"_Toc90910516" </w:instrText>
          </w:r>
          <w:r>
            <w:fldChar w:fldCharType="separate"/>
          </w:r>
          <w:r>
            <w:rPr>
              <w:rStyle w:val="21"/>
              <w:rFonts w:hint="eastAsia" w:ascii="方正黑体_GBK" w:eastAsia="方正黑体_GBK"/>
              <w:color w:val="000000" w:themeColor="text1"/>
              <w:sz w:val="26"/>
              <w:szCs w:val="26"/>
            </w:rPr>
            <w:t>二、构建现代化综合消防救援体系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_Toc90910516 \h </w:instrText>
          </w:r>
          <w:r>
            <w:rPr>
              <w:color w:val="000000" w:themeColor="text1"/>
              <w:sz w:val="26"/>
              <w:szCs w:val="26"/>
            </w:rPr>
            <w:fldChar w:fldCharType="separate"/>
          </w:r>
          <w:r>
            <w:rPr>
              <w:color w:val="000000" w:themeColor="text1"/>
              <w:sz w:val="26"/>
              <w:szCs w:val="26"/>
            </w:rPr>
            <w:t>53</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"_Toc90910517" </w:instrText>
          </w:r>
          <w:r>
            <w:fldChar w:fldCharType="separate"/>
          </w:r>
          <w:r>
            <w:rPr>
              <w:rStyle w:val="21"/>
              <w:rFonts w:hint="eastAsia" w:ascii="方正黑体_GBK" w:eastAsia="方正黑体_GBK"/>
              <w:color w:val="000000" w:themeColor="text1"/>
              <w:sz w:val="26"/>
              <w:szCs w:val="26"/>
            </w:rPr>
            <w:t>三、形成现代化人民防空体系</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_Toc90910517 \h </w:instrText>
          </w:r>
          <w:r>
            <w:rPr>
              <w:color w:val="000000" w:themeColor="text1"/>
              <w:sz w:val="26"/>
              <w:szCs w:val="26"/>
            </w:rPr>
            <w:fldChar w:fldCharType="separate"/>
          </w:r>
          <w:r>
            <w:rPr>
              <w:color w:val="000000" w:themeColor="text1"/>
              <w:sz w:val="26"/>
              <w:szCs w:val="26"/>
            </w:rPr>
            <w:t>54</w:t>
          </w:r>
          <w:r>
            <w:rPr>
              <w:color w:val="000000" w:themeColor="text1"/>
              <w:sz w:val="26"/>
              <w:szCs w:val="26"/>
            </w:rPr>
            <w:fldChar w:fldCharType="end"/>
          </w:r>
          <w:r>
            <w:rPr>
              <w:color w:val="000000" w:themeColor="text1"/>
              <w:sz w:val="26"/>
              <w:szCs w:val="26"/>
            </w:rPr>
            <w:fldChar w:fldCharType="end"/>
          </w:r>
        </w:p>
        <w:p>
          <w:pPr>
            <w:pStyle w:val="13"/>
            <w:tabs>
              <w:tab w:val="right" w:leader="dot" w:pos="8297"/>
            </w:tabs>
            <w:spacing w:line="520" w:lineRule="exact"/>
            <w:rPr>
              <w:rFonts w:asciiTheme="minorHAnsi" w:hAnsiTheme="minorHAnsi" w:eastAsiaTheme="minorEastAsia" w:cstheme="minorBidi"/>
              <w:b w:val="0"/>
              <w:bCs w:val="0"/>
              <w:caps w:val="0"/>
              <w:color w:val="000000" w:themeColor="text1"/>
              <w:sz w:val="26"/>
              <w:szCs w:val="26"/>
            </w:rPr>
          </w:pPr>
          <w:r>
            <w:fldChar w:fldCharType="begin"/>
          </w:r>
          <w:r>
            <w:instrText xml:space="preserve"> HYPERLINK \l "_Toc90910518" </w:instrText>
          </w:r>
          <w:r>
            <w:fldChar w:fldCharType="separate"/>
          </w:r>
          <w:r>
            <w:rPr>
              <w:rStyle w:val="21"/>
              <w:rFonts w:hint="eastAsia" w:ascii="方正小标宋_GBK" w:eastAsia="方正小标宋_GBK"/>
              <w:color w:val="000000" w:themeColor="text1"/>
              <w:kern w:val="0"/>
              <w:sz w:val="26"/>
              <w:szCs w:val="26"/>
            </w:rPr>
            <w:t>第四章 保障措施</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_Toc90910518 \h </w:instrText>
          </w:r>
          <w:r>
            <w:rPr>
              <w:color w:val="000000" w:themeColor="text1"/>
              <w:sz w:val="26"/>
              <w:szCs w:val="26"/>
            </w:rPr>
            <w:fldChar w:fldCharType="separate"/>
          </w:r>
          <w:r>
            <w:rPr>
              <w:color w:val="000000" w:themeColor="text1"/>
              <w:sz w:val="26"/>
              <w:szCs w:val="26"/>
            </w:rPr>
            <w:t>55</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"_Toc90910519" </w:instrText>
          </w:r>
          <w:r>
            <w:fldChar w:fldCharType="separate"/>
          </w:r>
          <w:r>
            <w:rPr>
              <w:rStyle w:val="21"/>
              <w:rFonts w:hint="eastAsia" w:ascii="方正黑体_GBK" w:eastAsia="方正黑体_GBK"/>
              <w:color w:val="000000" w:themeColor="text1"/>
              <w:sz w:val="26"/>
              <w:szCs w:val="26"/>
            </w:rPr>
            <w:t>一、组织保障</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_Toc90910519 \h </w:instrText>
          </w:r>
          <w:r>
            <w:rPr>
              <w:color w:val="000000" w:themeColor="text1"/>
              <w:sz w:val="26"/>
              <w:szCs w:val="26"/>
            </w:rPr>
            <w:fldChar w:fldCharType="separate"/>
          </w:r>
          <w:r>
            <w:rPr>
              <w:color w:val="000000" w:themeColor="text1"/>
              <w:sz w:val="26"/>
              <w:szCs w:val="26"/>
            </w:rPr>
            <w:t>55</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"_Toc90910520" </w:instrText>
          </w:r>
          <w:r>
            <w:fldChar w:fldCharType="separate"/>
          </w:r>
          <w:r>
            <w:rPr>
              <w:rStyle w:val="21"/>
              <w:rFonts w:hint="eastAsia" w:ascii="方正黑体_GBK" w:eastAsia="方正黑体_GBK"/>
              <w:color w:val="000000" w:themeColor="text1"/>
              <w:sz w:val="26"/>
              <w:szCs w:val="26"/>
            </w:rPr>
            <w:t>二、资金保障</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_Toc90910520 \h </w:instrText>
          </w:r>
          <w:r>
            <w:rPr>
              <w:color w:val="000000" w:themeColor="text1"/>
              <w:sz w:val="26"/>
              <w:szCs w:val="26"/>
            </w:rPr>
            <w:fldChar w:fldCharType="separate"/>
          </w:r>
          <w:r>
            <w:rPr>
              <w:color w:val="000000" w:themeColor="text1"/>
              <w:sz w:val="26"/>
              <w:szCs w:val="26"/>
            </w:rPr>
            <w:t>55</w:t>
          </w:r>
          <w:r>
            <w:rPr>
              <w:color w:val="000000" w:themeColor="text1"/>
              <w:sz w:val="26"/>
              <w:szCs w:val="26"/>
            </w:rPr>
            <w:fldChar w:fldCharType="end"/>
          </w:r>
          <w:r>
            <w:rPr>
              <w:color w:val="000000" w:themeColor="text1"/>
              <w:sz w:val="26"/>
              <w:szCs w:val="26"/>
            </w:rPr>
            <w:fldChar w:fldCharType="end"/>
          </w:r>
        </w:p>
        <w:p>
          <w:pPr>
            <w:pStyle w:val="7"/>
            <w:tabs>
              <w:tab w:val="right" w:leader="dot" w:pos="8297"/>
            </w:tabs>
            <w:spacing w:line="520" w:lineRule="exact"/>
            <w:rPr>
              <w:color w:val="000000" w:themeColor="text1"/>
              <w:kern w:val="2"/>
              <w:sz w:val="26"/>
              <w:szCs w:val="26"/>
            </w:rPr>
          </w:pPr>
          <w:r>
            <w:fldChar w:fldCharType="begin"/>
          </w:r>
          <w:r>
            <w:instrText xml:space="preserve"> HYPERLINK \l "_Toc90910521" </w:instrText>
          </w:r>
          <w:r>
            <w:fldChar w:fldCharType="separate"/>
          </w:r>
          <w:r>
            <w:rPr>
              <w:rStyle w:val="21"/>
              <w:rFonts w:hint="eastAsia" w:ascii="方正黑体_GBK" w:eastAsia="方正黑体_GBK"/>
              <w:color w:val="000000" w:themeColor="text1"/>
              <w:sz w:val="26"/>
              <w:szCs w:val="26"/>
            </w:rPr>
            <w:t>三、政策保障</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_Toc90910521 \h </w:instrText>
          </w:r>
          <w:r>
            <w:rPr>
              <w:color w:val="000000" w:themeColor="text1"/>
              <w:sz w:val="26"/>
              <w:szCs w:val="26"/>
            </w:rPr>
            <w:fldChar w:fldCharType="separate"/>
          </w:r>
          <w:r>
            <w:rPr>
              <w:color w:val="000000" w:themeColor="text1"/>
              <w:sz w:val="26"/>
              <w:szCs w:val="26"/>
            </w:rPr>
            <w:t>55</w:t>
          </w:r>
          <w:r>
            <w:rPr>
              <w:color w:val="000000" w:themeColor="text1"/>
              <w:sz w:val="26"/>
              <w:szCs w:val="26"/>
            </w:rPr>
            <w:fldChar w:fldCharType="end"/>
          </w:r>
          <w:r>
            <w:rPr>
              <w:color w:val="000000" w:themeColor="text1"/>
              <w:sz w:val="26"/>
              <w:szCs w:val="26"/>
            </w:rPr>
            <w:fldChar w:fldCharType="end"/>
          </w:r>
        </w:p>
        <w:p>
          <w:pPr>
            <w:pStyle w:val="13"/>
            <w:tabs>
              <w:tab w:val="right" w:leader="dot" w:pos="8297"/>
            </w:tabs>
            <w:spacing w:line="520" w:lineRule="exact"/>
            <w:rPr>
              <w:rFonts w:asciiTheme="minorHAnsi" w:hAnsiTheme="minorHAnsi" w:eastAsiaTheme="minorEastAsia" w:cstheme="minorBidi"/>
              <w:b w:val="0"/>
              <w:bCs w:val="0"/>
              <w:caps w:val="0"/>
              <w:color w:val="000000" w:themeColor="text1"/>
              <w:sz w:val="26"/>
              <w:szCs w:val="26"/>
            </w:rPr>
          </w:pPr>
          <w:r>
            <w:fldChar w:fldCharType="begin"/>
          </w:r>
          <w:r>
            <w:instrText xml:space="preserve"> HYPERLINK \l "_Toc90910523" </w:instrText>
          </w:r>
          <w:r>
            <w:fldChar w:fldCharType="separate"/>
          </w:r>
          <w:r>
            <w:rPr>
              <w:rStyle w:val="21"/>
              <w:rFonts w:hint="eastAsia" w:ascii="黑体" w:hAnsi="黑体" w:eastAsia="黑体"/>
              <w:color w:val="000000" w:themeColor="text1"/>
              <w:kern w:val="44"/>
              <w:sz w:val="26"/>
              <w:szCs w:val="26"/>
            </w:rPr>
            <w:t>附表一：“十四五”城市基础设施重点建设项目表</w:t>
          </w:r>
          <w:r>
            <w:rPr>
              <w:color w:val="000000" w:themeColor="text1"/>
              <w:sz w:val="26"/>
              <w:szCs w:val="26"/>
            </w:rPr>
            <w:tab/>
          </w:r>
          <w:r>
            <w:rPr>
              <w:color w:val="000000" w:themeColor="text1"/>
              <w:sz w:val="26"/>
              <w:szCs w:val="26"/>
            </w:rPr>
            <w:fldChar w:fldCharType="begin"/>
          </w:r>
          <w:r>
            <w:rPr>
              <w:color w:val="000000" w:themeColor="text1"/>
              <w:sz w:val="26"/>
              <w:szCs w:val="26"/>
            </w:rPr>
            <w:instrText xml:space="preserve"> PAGEREF _Toc90910523 \h </w:instrText>
          </w:r>
          <w:r>
            <w:rPr>
              <w:color w:val="000000" w:themeColor="text1"/>
              <w:sz w:val="26"/>
              <w:szCs w:val="26"/>
            </w:rPr>
            <w:fldChar w:fldCharType="separate"/>
          </w:r>
          <w:r>
            <w:rPr>
              <w:color w:val="000000" w:themeColor="text1"/>
              <w:sz w:val="26"/>
              <w:szCs w:val="26"/>
            </w:rPr>
            <w:t>57</w:t>
          </w:r>
          <w:r>
            <w:rPr>
              <w:color w:val="000000" w:themeColor="text1"/>
              <w:sz w:val="26"/>
              <w:szCs w:val="26"/>
            </w:rPr>
            <w:fldChar w:fldCharType="end"/>
          </w:r>
          <w:r>
            <w:rPr>
              <w:color w:val="000000" w:themeColor="text1"/>
              <w:sz w:val="26"/>
              <w:szCs w:val="26"/>
            </w:rPr>
            <w:fldChar w:fldCharType="end"/>
          </w:r>
        </w:p>
        <w:p>
          <w:pPr>
            <w:spacing w:line="520" w:lineRule="exact"/>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6"/>
              <w:szCs w:val="26"/>
            </w:rPr>
            <w:fldChar w:fldCharType="end"/>
          </w:r>
        </w:p>
      </w:sdtContent>
    </w:sdt>
    <w:p>
      <w:pPr>
        <w:spacing w:before="100" w:beforeAutospacing="1" w:after="100" w:afterAutospacing="1" w:line="580" w:lineRule="exact"/>
        <w:jc w:val="center"/>
        <w:outlineLvl w:val="0"/>
        <w:rPr>
          <w:color w:val="000000" w:themeColor="text1"/>
        </w:rPr>
        <w:sectPr>
          <w:headerReference r:id="rId3" w:type="default"/>
          <w:footerReference r:id="rId4" w:type="default"/>
          <w:pgSz w:w="11907" w:h="16839"/>
          <w:pgMar w:top="1701" w:right="1701" w:bottom="1701" w:left="1701" w:header="851" w:footer="992" w:gutter="0"/>
          <w:pgNumType w:start="0"/>
          <w:cols w:space="0" w:num="1"/>
          <w:titlePg/>
          <w:docGrid w:type="lines" w:linePitch="312" w:charSpace="0"/>
        </w:sectPr>
      </w:pPr>
    </w:p>
    <w:p>
      <w:pPr>
        <w:spacing w:before="100" w:beforeAutospacing="1" w:after="100" w:afterAutospacing="1" w:line="580" w:lineRule="exact"/>
        <w:jc w:val="center"/>
        <w:outlineLvl w:val="0"/>
        <w:rPr>
          <w:rFonts w:ascii="方正小标宋_GBK" w:eastAsia="方正小标宋_GBK"/>
          <w:color w:val="000000" w:themeColor="text1"/>
          <w:kern w:val="0"/>
          <w:sz w:val="36"/>
          <w:szCs w:val="36"/>
        </w:rPr>
      </w:pPr>
      <w:r>
        <w:fldChar w:fldCharType="begin"/>
      </w:r>
      <w:r>
        <w:instrText xml:space="preserve"> HYPERLINK \l "_Toc57992994" </w:instrText>
      </w:r>
      <w:r>
        <w:fldChar w:fldCharType="separate"/>
      </w:r>
      <w:bookmarkStart w:id="1" w:name="_Toc90910474"/>
      <w:r>
        <w:rPr>
          <w:rFonts w:hint="eastAsia" w:ascii="方正小标宋_GBK" w:eastAsia="方正小标宋_GBK"/>
          <w:color w:val="000000" w:themeColor="text1"/>
          <w:kern w:val="0"/>
          <w:sz w:val="36"/>
          <w:szCs w:val="36"/>
        </w:rPr>
        <w:t>第一章 总体要求</w:t>
      </w:r>
      <w:bookmarkEnd w:id="1"/>
      <w:r>
        <w:rPr>
          <w:rFonts w:hint="eastAsia" w:ascii="方正小标宋_GBK" w:eastAsia="方正小标宋_GBK"/>
          <w:color w:val="000000" w:themeColor="text1"/>
          <w:kern w:val="0"/>
          <w:sz w:val="36"/>
          <w:szCs w:val="36"/>
        </w:rPr>
        <w:fldChar w:fldCharType="end"/>
      </w:r>
    </w:p>
    <w:p>
      <w:pPr>
        <w:spacing w:before="100" w:beforeAutospacing="1" w:after="100" w:afterAutospacing="1" w:line="580" w:lineRule="exact"/>
        <w:jc w:val="center"/>
        <w:outlineLvl w:val="1"/>
        <w:rPr>
          <w:color w:val="000000" w:themeColor="text1"/>
        </w:rPr>
      </w:pPr>
      <w:r>
        <w:fldChar w:fldCharType="begin"/>
      </w:r>
      <w:r>
        <w:instrText xml:space="preserve"> HYPERLINK \l "_Toc57992996" </w:instrText>
      </w:r>
      <w:r>
        <w:fldChar w:fldCharType="separate"/>
      </w:r>
      <w:bookmarkStart w:id="2" w:name="_Toc90910475"/>
      <w:r>
        <w:rPr>
          <w:rFonts w:hint="eastAsia" w:ascii="方正黑体_GBK" w:eastAsia="方正黑体_GBK"/>
          <w:color w:val="000000" w:themeColor="text1"/>
          <w:kern w:val="0"/>
          <w:sz w:val="32"/>
          <w:szCs w:val="32"/>
        </w:rPr>
        <w:t>第一节 发展环境</w:t>
      </w:r>
      <w:bookmarkEnd w:id="2"/>
      <w:r>
        <w:rPr>
          <w:rFonts w:hint="eastAsia" w:ascii="方正黑体_GBK" w:eastAsia="方正黑体_GBK"/>
          <w:color w:val="000000" w:themeColor="text1"/>
          <w:kern w:val="0"/>
          <w:sz w:val="32"/>
          <w:szCs w:val="32"/>
        </w:rPr>
        <w:fldChar w:fldCharType="end"/>
      </w:r>
    </w:p>
    <w:p>
      <w:pPr>
        <w:overflowPunct w:val="0"/>
        <w:spacing w:line="580" w:lineRule="exact"/>
        <w:ind w:firstLine="640" w:firstLineChars="200"/>
        <w:rPr>
          <w:rFonts w:ascii="方正黑体_GBK" w:eastAsia="方正黑体_GBK"/>
          <w:color w:val="000000" w:themeColor="text1"/>
          <w:sz w:val="32"/>
          <w:szCs w:val="32"/>
        </w:rPr>
      </w:pPr>
      <w:bookmarkStart w:id="3" w:name="_Toc86435828"/>
      <w:bookmarkStart w:id="4" w:name="_Toc90910476"/>
      <w:bookmarkStart w:id="5" w:name="_Toc86435538"/>
      <w:r>
        <w:rPr>
          <w:rFonts w:hint="eastAsia" w:ascii="方正黑体_GBK" w:eastAsia="方正黑体_GBK"/>
          <w:color w:val="000000" w:themeColor="text1"/>
          <w:sz w:val="32"/>
          <w:szCs w:val="32"/>
        </w:rPr>
        <w:t>一、规划背景</w:t>
      </w:r>
      <w:bookmarkEnd w:id="3"/>
      <w:bookmarkEnd w:id="4"/>
      <w:bookmarkEnd w:id="5"/>
    </w:p>
    <w:p>
      <w:pPr>
        <w:overflowPunct w:val="0"/>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“十四五”时期，是我国</w:t>
      </w:r>
      <w:r>
        <w:rPr>
          <w:rFonts w:hint="eastAsia" w:eastAsia="方正仿宋_GBK"/>
          <w:color w:val="000000" w:themeColor="text1"/>
          <w:sz w:val="32"/>
          <w:szCs w:val="32"/>
          <w:lang w:eastAsia="zh-CN"/>
        </w:rPr>
        <w:t>“</w:t>
      </w:r>
      <w:r>
        <w:rPr>
          <w:rFonts w:hint="eastAsia" w:eastAsia="方正仿宋_GBK"/>
          <w:color w:val="000000" w:themeColor="text1"/>
          <w:sz w:val="32"/>
          <w:szCs w:val="32"/>
        </w:rPr>
        <w:t>两个一百年</w:t>
      </w:r>
      <w:r>
        <w:rPr>
          <w:rFonts w:hint="eastAsia" w:eastAsia="方正仿宋_GBK"/>
          <w:color w:val="000000" w:themeColor="text1"/>
          <w:sz w:val="32"/>
          <w:szCs w:val="32"/>
          <w:lang w:eastAsia="zh-CN"/>
        </w:rPr>
        <w:t>”</w:t>
      </w:r>
      <w:r>
        <w:rPr>
          <w:rFonts w:hint="eastAsia" w:eastAsia="方正仿宋_GBK"/>
          <w:color w:val="000000" w:themeColor="text1"/>
          <w:sz w:val="32"/>
          <w:szCs w:val="32"/>
        </w:rPr>
        <w:t>奋斗目标的历史交汇期，是由全面建成小康社会向基本实现社会主义现代化迈进的转折时期，是开启全面建设社会主义现代化</w:t>
      </w:r>
      <w:r>
        <w:rPr>
          <w:rFonts w:hint="eastAsia" w:eastAsia="方正仿宋_GBK"/>
          <w:color w:val="000000" w:themeColor="text1"/>
          <w:sz w:val="32"/>
          <w:szCs w:val="32"/>
          <w:lang w:eastAsia="zh-CN"/>
        </w:rPr>
        <w:t>国家</w:t>
      </w:r>
      <w:r>
        <w:rPr>
          <w:rFonts w:hint="eastAsia" w:eastAsia="方正仿宋_GBK"/>
          <w:color w:val="000000" w:themeColor="text1"/>
          <w:sz w:val="32"/>
          <w:szCs w:val="32"/>
        </w:rPr>
        <w:t>新征程的起步期，也是南川以新发展理念协同推进经济高质量发展，细化落实山清水秀旅游名城、大健康产业集聚区、先进制造业基地、主城都市区后花园、景城乡融合发展示范区发展定位的关键时期，充分利用区位条件优越、生态环境优良、旅游资源优厚的“三优禀赋”，抢抓“同城化发展先行区”战略机遇，积极承接重庆中心城区空间拓展、功能延伸、产业集聚，发挥主城都市区与渝东南武陵山区城镇群和黔北地区通道连接作用，扩大和传导主城都市区对周边辐射带动作用，全力提升自身发展能级，在成渝地区双城经济圈建设和全市“一区两群”协调发展，率先实现与中心城区同城化发展的重要五年规划。</w:t>
      </w:r>
    </w:p>
    <w:p>
      <w:pPr>
        <w:overflowPunct w:val="0"/>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城市基础设施是进行城市各项经济社会活动的保障体系和重要依托，在城市建设中发挥着重要的支撑作用，在城市发展中处于重要的先导地位。科学编制和有效实施“十四五”城市基础设施规划，对“十四五”期间的基础设施建设进行指导和规范，是落实南川区国土空间规划、提高城市承载能力和提升环境质量的重要步骤，对南川区实现经济社会发展新跨越，开启全面建设社会主义现代化的新征程具有重大意义。</w:t>
      </w:r>
    </w:p>
    <w:p>
      <w:pPr>
        <w:overflowPunct w:val="0"/>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依据《重庆市南川区国土空间总体规划（2020—2035年）》、《重庆市南川区国民经济和社会发展第十四个五年规划和二〇三五年远景目标纲要》，区住房城乡建委等相关单位组织编制《重庆市南川区城市基础设施“十四五”规划》(以下简称《规划》)。</w:t>
      </w:r>
    </w:p>
    <w:p>
      <w:pPr>
        <w:overflowPunct w:val="0"/>
        <w:spacing w:line="580" w:lineRule="exact"/>
        <w:ind w:firstLine="640" w:firstLineChars="200"/>
        <w:rPr>
          <w:rFonts w:ascii="方正黑体_GBK" w:eastAsia="方正黑体_GBK"/>
          <w:color w:val="000000" w:themeColor="text1"/>
          <w:sz w:val="32"/>
          <w:szCs w:val="32"/>
        </w:rPr>
      </w:pPr>
      <w:bookmarkStart w:id="6" w:name="_Toc86435829"/>
      <w:bookmarkStart w:id="7" w:name="_Toc86435539"/>
      <w:bookmarkStart w:id="8" w:name="_Toc90910477"/>
      <w:r>
        <w:rPr>
          <w:rFonts w:hint="eastAsia" w:ascii="方正黑体_GBK" w:eastAsia="方正黑体_GBK"/>
          <w:color w:val="000000" w:themeColor="text1"/>
          <w:sz w:val="32"/>
          <w:szCs w:val="32"/>
        </w:rPr>
        <w:t>二、规划范围</w:t>
      </w:r>
      <w:bookmarkEnd w:id="6"/>
      <w:bookmarkEnd w:id="7"/>
      <w:bookmarkEnd w:id="8"/>
    </w:p>
    <w:p>
      <w:pPr>
        <w:overflowPunct w:val="0"/>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规划范围与南川区国土空间规划确定的城区范围保持一致，主要包括东城、南城、西城3个街道，辖区范围379平方公里。</w:t>
      </w:r>
    </w:p>
    <w:p>
      <w:pPr>
        <w:overflowPunct w:val="0"/>
        <w:spacing w:line="580" w:lineRule="exact"/>
        <w:ind w:firstLine="640" w:firstLineChars="200"/>
        <w:rPr>
          <w:rFonts w:ascii="方正黑体_GBK" w:eastAsia="方正黑体_GBK"/>
          <w:color w:val="000000" w:themeColor="text1"/>
          <w:sz w:val="32"/>
          <w:szCs w:val="32"/>
        </w:rPr>
      </w:pPr>
      <w:bookmarkStart w:id="9" w:name="_Toc90910478"/>
      <w:bookmarkStart w:id="10" w:name="_Toc86435540"/>
      <w:bookmarkStart w:id="11" w:name="_Toc86435830"/>
      <w:r>
        <w:rPr>
          <w:rFonts w:hint="eastAsia" w:ascii="方正黑体_GBK" w:eastAsia="方正黑体_GBK"/>
          <w:color w:val="000000" w:themeColor="text1"/>
          <w:sz w:val="32"/>
          <w:szCs w:val="32"/>
        </w:rPr>
        <w:t>三、规划内容</w:t>
      </w:r>
      <w:bookmarkEnd w:id="9"/>
      <w:bookmarkEnd w:id="10"/>
      <w:bookmarkEnd w:id="11"/>
    </w:p>
    <w:p>
      <w:pPr>
        <w:overflowPunct w:val="0"/>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本规划内容主要涉及6大板块，包括城市交通、能源保障、市政环卫、生活环境、智慧城市和防灾减灾等；规划内容覆盖 19个子项，包括对外交通设施、城市交通设施、城市停车场、城市电网设施、城市燃气设施、城市供水设施、城市排水设施、污水处理设施、垃圾处理设施、“海绵城市”基础设施、城市综合管廊设施、城市公园绿地、“清水绿岸”治理、城市更新、通信基础设施、“智慧城市”基础设施、城市防洪设施、城市消防设施、人防工程设施等。</w:t>
      </w:r>
    </w:p>
    <w:p>
      <w:pPr>
        <w:overflowPunct w:val="0"/>
        <w:spacing w:line="580" w:lineRule="exact"/>
        <w:ind w:firstLine="640" w:firstLineChars="200"/>
        <w:rPr>
          <w:rFonts w:ascii="方正黑体_GBK" w:eastAsia="方正黑体_GBK"/>
          <w:color w:val="000000" w:themeColor="text1"/>
          <w:sz w:val="32"/>
          <w:szCs w:val="32"/>
        </w:rPr>
      </w:pPr>
      <w:bookmarkStart w:id="12" w:name="_Toc90910479"/>
      <w:bookmarkStart w:id="13" w:name="_Toc86435831"/>
      <w:bookmarkStart w:id="14" w:name="_Toc86435541"/>
      <w:r>
        <w:rPr>
          <w:rFonts w:hint="eastAsia" w:ascii="方正黑体_GBK" w:eastAsia="方正黑体_GBK"/>
          <w:color w:val="000000" w:themeColor="text1"/>
          <w:sz w:val="32"/>
          <w:szCs w:val="32"/>
        </w:rPr>
        <w:t>四、规划期限</w:t>
      </w:r>
      <w:bookmarkEnd w:id="12"/>
      <w:bookmarkEnd w:id="13"/>
      <w:bookmarkEnd w:id="14"/>
    </w:p>
    <w:p>
      <w:pPr>
        <w:overflowPunct w:val="0"/>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规划期限为2021年至2025年。</w:t>
      </w:r>
    </w:p>
    <w:p>
      <w:pPr>
        <w:widowControl/>
        <w:spacing w:before="100" w:beforeAutospacing="1" w:after="100" w:afterAutospacing="1" w:line="580" w:lineRule="exact"/>
        <w:jc w:val="center"/>
        <w:outlineLvl w:val="1"/>
        <w:rPr>
          <w:color w:val="000000" w:themeColor="text1"/>
        </w:rPr>
      </w:pPr>
    </w:p>
    <w:p>
      <w:pPr>
        <w:widowControl/>
        <w:spacing w:before="100" w:beforeAutospacing="1" w:after="100" w:afterAutospacing="1" w:line="580" w:lineRule="exact"/>
        <w:jc w:val="center"/>
        <w:outlineLvl w:val="1"/>
        <w:rPr>
          <w:color w:val="000000" w:themeColor="text1"/>
        </w:rPr>
      </w:pPr>
      <w:r>
        <w:fldChar w:fldCharType="begin"/>
      </w:r>
      <w:r>
        <w:instrText xml:space="preserve"> HYPERLINK \l "_Toc57992996" </w:instrText>
      </w:r>
      <w:r>
        <w:fldChar w:fldCharType="separate"/>
      </w:r>
      <w:bookmarkStart w:id="15" w:name="_Toc90910480"/>
      <w:r>
        <w:rPr>
          <w:rFonts w:hint="eastAsia" w:ascii="方正黑体_GBK" w:eastAsia="方正黑体_GBK"/>
          <w:color w:val="000000" w:themeColor="text1"/>
          <w:kern w:val="0"/>
          <w:sz w:val="32"/>
          <w:szCs w:val="32"/>
        </w:rPr>
        <w:t>第二节 发展基础</w:t>
      </w:r>
      <w:bookmarkEnd w:id="15"/>
      <w:r>
        <w:rPr>
          <w:rFonts w:hint="eastAsia" w:ascii="方正黑体_GBK" w:eastAsia="方正黑体_GBK"/>
          <w:color w:val="000000" w:themeColor="text1"/>
          <w:kern w:val="0"/>
          <w:sz w:val="32"/>
          <w:szCs w:val="32"/>
        </w:rPr>
        <w:fldChar w:fldCharType="end"/>
      </w:r>
    </w:p>
    <w:p>
      <w:pPr>
        <w:overflowPunct w:val="0"/>
        <w:spacing w:line="580" w:lineRule="exact"/>
        <w:ind w:firstLine="640" w:firstLineChars="200"/>
        <w:rPr>
          <w:rFonts w:ascii="方正黑体_GBK" w:eastAsia="方正黑体_GBK"/>
          <w:color w:val="000000" w:themeColor="text1"/>
          <w:sz w:val="32"/>
          <w:szCs w:val="32"/>
        </w:rPr>
      </w:pPr>
      <w:bookmarkStart w:id="16" w:name="_Toc90910481"/>
      <w:bookmarkStart w:id="17" w:name="_Toc81406957"/>
      <w:bookmarkStart w:id="18" w:name="_Toc86435543"/>
      <w:bookmarkStart w:id="19" w:name="_Toc86435833"/>
      <w:r>
        <w:rPr>
          <w:rFonts w:hint="eastAsia" w:ascii="方正黑体_GBK" w:eastAsia="方正黑体_GBK"/>
          <w:color w:val="000000" w:themeColor="text1"/>
          <w:sz w:val="32"/>
          <w:szCs w:val="32"/>
        </w:rPr>
        <w:t>一、“十三五”时期城市基础设施建设成就</w:t>
      </w:r>
      <w:bookmarkEnd w:id="16"/>
      <w:bookmarkEnd w:id="17"/>
      <w:bookmarkEnd w:id="18"/>
      <w:bookmarkEnd w:id="19"/>
    </w:p>
    <w:p>
      <w:pPr>
        <w:overflowPunct w:val="0"/>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城市基础设施建设，是城市社会经济发展、人居环境改善、公共服务提升和城市安全运转的基本保障。“十三五”期间，全区上下团结一致，积极应对国际政治文化格局大调整、国内经济发展新常态的环境，围绕重大活动和城市发展格局，全力推进重大基础设施项目建设，不断完善民生类基础设施配套，大幅提高了基础设施服务水平和城市承载能力，全方位提升了城市发展品质，获评了《魅力中国城》十佳魅力城市，入选了中国冬季旅游名城，使“金佛山•福南川”成为响亮旅游名片。</w:t>
      </w:r>
    </w:p>
    <w:p>
      <w:pPr>
        <w:spacing w:line="580" w:lineRule="exact"/>
        <w:ind w:firstLine="640" w:firstLineChars="200"/>
        <w:rPr>
          <w:rFonts w:eastAsia="方正仿宋_GBK"/>
          <w:color w:val="000000" w:themeColor="text1"/>
          <w:sz w:val="32"/>
          <w:szCs w:val="32"/>
        </w:rPr>
      </w:pPr>
      <w:bookmarkStart w:id="20" w:name="_Toc64991164"/>
      <w:bookmarkStart w:id="21" w:name="_Toc13579"/>
      <w:bookmarkStart w:id="22" w:name="_Toc70266186"/>
      <w:bookmarkStart w:id="23" w:name="_Toc66724008"/>
      <w:r>
        <w:rPr>
          <w:rFonts w:hint="eastAsia" w:ascii="方正楷体_GBK" w:eastAsia="方正楷体_GBK"/>
          <w:bCs/>
          <w:color w:val="000000" w:themeColor="text1"/>
          <w:kern w:val="0"/>
          <w:sz w:val="32"/>
          <w:szCs w:val="32"/>
        </w:rPr>
        <w:t>（一）城市交通设施持续巩固，内外联通有效加强</w:t>
      </w:r>
      <w:r>
        <w:rPr>
          <w:rFonts w:hint="eastAsia" w:eastAsia="方正仿宋_GBK"/>
          <w:color w:val="000000" w:themeColor="text1"/>
          <w:sz w:val="32"/>
          <w:szCs w:val="32"/>
        </w:rPr>
        <w:t>。</w:t>
      </w:r>
      <w:bookmarkEnd w:id="20"/>
      <w:bookmarkEnd w:id="21"/>
      <w:bookmarkEnd w:id="22"/>
      <w:bookmarkEnd w:id="23"/>
      <w:r>
        <w:rPr>
          <w:rFonts w:hint="eastAsia" w:eastAsia="方正仿宋_GBK"/>
          <w:color w:val="000000" w:themeColor="text1"/>
          <w:sz w:val="32"/>
          <w:szCs w:val="32"/>
        </w:rPr>
        <w:t>“十三五”时期，渝湘高铁过境南川并全面开工建设，以渝湘高铁（在建）、南涪铁路、三万南铁路为主的“一高两普”对外铁路网即将形成。高速公路网络逐步完善，南两高速、南道高速竣工通车，并与渝湘高速、南万高速、南涪高速全面形成“两横两纵一联线”的高速公路网格局，高速公路总里程达到180公里。城区“五横七纵”的干道网格局基本形成，系统完成多条城市支路建设，不断加密微循环路网。建成天马旅游公路、隆化大道、水口路、来游路、龙济二路、牌坊路、南大街延伸路等道路，稳步推进景城大道、金山一路、金山二路、渝南大道延伸路等道路建设。综合交通枢纽建设不断推进，地面公交建设取得长足进步。客运西站交通枢纽设施全面完成建设，城市公交线路已开通13条，公交线网密度达到3.3公里/平方公里，公交站点基本实现了对城区的全覆盖。</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（二）能源保障水平显著提高，供给服务水平不断提升。</w:t>
      </w:r>
      <w:r>
        <w:rPr>
          <w:rFonts w:hint="eastAsia" w:eastAsia="方正仿宋_GBK"/>
          <w:color w:val="000000" w:themeColor="text1"/>
          <w:sz w:val="32"/>
          <w:szCs w:val="32"/>
        </w:rPr>
        <w:t>“十三五”时期，南川区电力基础设施建设稳步推进，供电能力持续提高，中心城区共建成1座220千伏变电站，5座110千伏变电站，居民人均生活电量700千瓦时，供电质量得到全面改善；城市燃气设施建设持续推进，南川新区及工业园区供气管网逐步完善，供气保障能力持续强化，天然气城区气化率达到9</w:t>
      </w:r>
      <w:r>
        <w:rPr>
          <w:rFonts w:eastAsia="方正仿宋_GBK"/>
          <w:color w:val="000000" w:themeColor="text1"/>
          <w:sz w:val="32"/>
          <w:szCs w:val="32"/>
        </w:rPr>
        <w:t>5%</w:t>
      </w:r>
      <w:r>
        <w:rPr>
          <w:rFonts w:hint="eastAsia" w:eastAsia="方正仿宋_GBK"/>
          <w:color w:val="000000" w:themeColor="text1"/>
          <w:sz w:val="32"/>
          <w:szCs w:val="32"/>
        </w:rPr>
        <w:t>，中心城区基本实现天然气管网全覆盖。</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（三）市政设施稳步推进，环卫设施不断完善。</w:t>
      </w:r>
      <w:r>
        <w:rPr>
          <w:rFonts w:hint="eastAsia" w:eastAsia="方正仿宋_GBK"/>
          <w:color w:val="000000" w:themeColor="text1"/>
          <w:sz w:val="32"/>
          <w:szCs w:val="32"/>
        </w:rPr>
        <w:t>“十三五”时期，南川区城市供水设施建设加快，供水能力达到7万立方米/天，城市自来水普及率达</w:t>
      </w:r>
      <w:r>
        <w:rPr>
          <w:rFonts w:eastAsia="方正仿宋_GBK"/>
          <w:color w:val="000000" w:themeColor="text1"/>
          <w:sz w:val="32"/>
          <w:szCs w:val="32"/>
        </w:rPr>
        <w:t>98</w:t>
      </w:r>
      <w:r>
        <w:rPr>
          <w:rFonts w:hint="eastAsia" w:eastAsia="方正仿宋_GBK"/>
          <w:color w:val="000000" w:themeColor="text1"/>
          <w:sz w:val="32"/>
          <w:szCs w:val="32"/>
        </w:rPr>
        <w:t>%，完成供水主干管改造长度1</w:t>
      </w:r>
      <w:r>
        <w:rPr>
          <w:rFonts w:eastAsia="方正仿宋_GBK"/>
          <w:color w:val="000000" w:themeColor="text1"/>
          <w:sz w:val="32"/>
          <w:szCs w:val="32"/>
        </w:rPr>
        <w:t>8.1km</w:t>
      </w:r>
      <w:r>
        <w:rPr>
          <w:rFonts w:hint="eastAsia" w:eastAsia="方正仿宋_GBK"/>
          <w:color w:val="000000" w:themeColor="text1"/>
          <w:sz w:val="32"/>
          <w:szCs w:val="32"/>
        </w:rPr>
        <w:t>；城市排水体系进一步完善，污水系统收集率已达到9</w:t>
      </w:r>
      <w:r>
        <w:rPr>
          <w:rFonts w:eastAsia="方正仿宋_GBK"/>
          <w:color w:val="000000" w:themeColor="text1"/>
          <w:sz w:val="32"/>
          <w:szCs w:val="32"/>
        </w:rPr>
        <w:t>5</w:t>
      </w:r>
      <w:r>
        <w:rPr>
          <w:rFonts w:hint="eastAsia" w:eastAsia="方正仿宋_GBK"/>
          <w:color w:val="000000" w:themeColor="text1"/>
          <w:sz w:val="32"/>
          <w:szCs w:val="32"/>
        </w:rPr>
        <w:t>%以上，排水管网覆盖率逐年增加，建成雨水管网29.6里，污水管网42.3公里。各类环境卫生设施建设持续完善，稳步推进“公厕革命”和“垃圾分类”任务，共建成生活垃圾转运站9个，生活垃圾收集点62个，新建改造提升公共厕所20座，居住小区垃圾分类覆盖达100%，全区垃圾无害化处理率、生活垃圾清运率、粪便无害化处理率持续保持100%，建成农村沤肥池40余个，城镇餐厨垃圾主要运往綦江餐厨垃圾处理中心处理。</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（四）城市品质不断提升，生活环境明显改善。</w:t>
      </w:r>
      <w:r>
        <w:rPr>
          <w:rFonts w:hint="eastAsia" w:eastAsia="方正仿宋_GBK"/>
          <w:color w:val="000000" w:themeColor="text1"/>
          <w:sz w:val="32"/>
          <w:szCs w:val="32"/>
        </w:rPr>
        <w:t>“十三五”时期，南川成功创建国家卫生城市，并被纳入全国新时代文明实践中心试点区县。城区按照“两带、三组团、多片区”的空间结构思路，城市面积持续拓展，2021年底中心城区面积达到30平方公里，城区人口达到</w:t>
      </w:r>
      <w:r>
        <w:rPr>
          <w:rFonts w:eastAsia="方正仿宋_GBK"/>
          <w:color w:val="000000" w:themeColor="text1"/>
          <w:sz w:val="32"/>
          <w:szCs w:val="32"/>
        </w:rPr>
        <w:t>28</w:t>
      </w:r>
      <w:r>
        <w:rPr>
          <w:rFonts w:hint="eastAsia" w:eastAsia="方正仿宋_GBK"/>
          <w:color w:val="000000" w:themeColor="text1"/>
          <w:sz w:val="32"/>
          <w:szCs w:val="32"/>
        </w:rPr>
        <w:t>万人。南川区启动高标准编制景城乡一体化发展规划建设，掀开南川城市拓展新篇章，城区将拓展5平方公里，常住人口城镇化率达到64%。南川积极实施临江河流域综合治理，凤嘴江、半溪河、龙岩河等水生态环境得到显著改善，并获评重庆市十大最美河流。南川围绕“碧水、蓝天、绿地、田园、宁静”五大环保行动和创建国家森林城市和国土绿化提升行动，有序推动城区“一心两环多脉”建设，逐步实现“让森林走进城市，让城市拥抱森林”的目标。空气质量优良天数比率常年保持 90%以上，森林覆盖率突破58%。南川城市品质逐步提升，旅游吸引力旺盛，居住空间宜居适度，人均住房建筑面积已达小康社会标准，部分公共服务设施体系完善，均质化程度较高。综合管廊试点建设项目已顺利完成，建成10公里管廊。海绵城市建设成效显著，建设达标面积5</w:t>
      </w:r>
      <w:r>
        <w:rPr>
          <w:rFonts w:eastAsia="方正仿宋_GBK"/>
          <w:color w:val="000000" w:themeColor="text1"/>
          <w:sz w:val="32"/>
          <w:szCs w:val="32"/>
        </w:rPr>
        <w:t>.37</w:t>
      </w:r>
      <w:r>
        <w:rPr>
          <w:rFonts w:hint="eastAsia" w:eastAsia="方正仿宋_GBK"/>
          <w:color w:val="000000" w:themeColor="text1"/>
          <w:sz w:val="32"/>
          <w:szCs w:val="32"/>
        </w:rPr>
        <w:t>平方公里，实现了南川城市建成区20%以上面积达成海绵城市建设的目标要求。</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（五）积极推进“互联网+政务服务”，智慧城市建设取得良好成效。</w:t>
      </w:r>
      <w:r>
        <w:rPr>
          <w:rFonts w:hint="eastAsia" w:eastAsia="方正仿宋_GBK"/>
          <w:color w:val="000000" w:themeColor="text1"/>
          <w:sz w:val="32"/>
          <w:szCs w:val="32"/>
        </w:rPr>
        <w:t>“十三五”时期，南川积极推进“互联网+政务服务”、智慧医院、智慧出行、智慧化便民系统、智慧化城市管理、智慧化产业发展等，完善了智慧政务“一审受理、一网同伴”，智慧医疗“一网通”，智慧“渝客行”“全面传送”线上平台。加快推进 5G 体验区建设，100M光纤网络，完成宽带用户近13万户，实现村村全覆盖。建成南川区数字化城市管理，视频监控、路灯智能控制、危险源智能监控及自动抽排、车务通5个子系统，数字化城管覆盖率达到60%。</w:t>
      </w:r>
    </w:p>
    <w:p>
      <w:pPr>
        <w:spacing w:line="580" w:lineRule="exact"/>
        <w:ind w:firstLine="640" w:firstLineChars="200"/>
        <w:rPr>
          <w:rFonts w:ascii="方正黑体_GBK" w:eastAsia="方正黑体_GBK"/>
          <w:bCs/>
          <w:color w:val="000000" w:themeColor="text1"/>
          <w:kern w:val="0"/>
          <w:sz w:val="32"/>
          <w:szCs w:val="32"/>
        </w:rPr>
      </w:pPr>
      <w:r>
        <w:rPr>
          <w:rFonts w:hint="eastAsia" w:ascii="方正楷体_GBK" w:eastAsia="方正楷体_GBK"/>
          <w:bCs/>
          <w:color w:val="000000" w:themeColor="text1"/>
          <w:kern w:val="0"/>
          <w:sz w:val="32"/>
          <w:szCs w:val="32"/>
        </w:rPr>
        <w:t>（六）防灾减灾系统进一步完善，居民安全感的得到提升。</w:t>
      </w:r>
      <w:r>
        <w:rPr>
          <w:rFonts w:hint="eastAsia" w:eastAsia="方正仿宋_GBK"/>
          <w:color w:val="000000" w:themeColor="text1"/>
          <w:sz w:val="32"/>
          <w:szCs w:val="32"/>
        </w:rPr>
        <w:t>“十三五”时期，南川围绕综合防灾减灾等工作，持续加强防灾减灾设施建设，全力提升城市安全水平。防汛能力不断提升，200平方公里以下河流治理工程、水毁修复项目、病险水库除险加固工程、易涝地区治涝工程，提高了城区的防汛应急能力。消防基础设施建设稳步推进，完成东城消防救援站建设，完成区消防救援支队消防装备建设整体提升，积极推进了市政消火栓、社区消火栓等公共消防供水设施建设，消防栓总数量达到215个，消防供水能力不断提升。</w:t>
      </w:r>
    </w:p>
    <w:p>
      <w:pPr>
        <w:overflowPunct w:val="0"/>
        <w:spacing w:line="580" w:lineRule="exact"/>
        <w:ind w:firstLine="640" w:firstLineChars="200"/>
        <w:rPr>
          <w:rFonts w:ascii="方正黑体_GBK" w:eastAsia="方正黑体_GBK"/>
          <w:color w:val="000000" w:themeColor="text1"/>
          <w:sz w:val="32"/>
          <w:szCs w:val="32"/>
        </w:rPr>
      </w:pPr>
      <w:bookmarkStart w:id="24" w:name="_Toc86435544"/>
      <w:bookmarkStart w:id="25" w:name="_Toc81406958"/>
      <w:bookmarkStart w:id="26" w:name="_Toc90910482"/>
      <w:bookmarkStart w:id="27" w:name="_Toc86435834"/>
      <w:r>
        <w:rPr>
          <w:rFonts w:hint="eastAsia" w:ascii="方正黑体_GBK" w:eastAsia="方正黑体_GBK"/>
          <w:color w:val="000000" w:themeColor="text1"/>
          <w:sz w:val="32"/>
          <w:szCs w:val="32"/>
        </w:rPr>
        <w:t>二、“十三五”时期城市基础设施建设存在问题</w:t>
      </w:r>
      <w:bookmarkEnd w:id="24"/>
      <w:bookmarkEnd w:id="25"/>
      <w:bookmarkEnd w:id="26"/>
      <w:bookmarkEnd w:id="27"/>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（一）城市交通设施供给增长与需求矛盾仍然存在。</w:t>
      </w:r>
      <w:r>
        <w:rPr>
          <w:rFonts w:hint="eastAsia" w:eastAsia="方正仿宋_GBK"/>
          <w:color w:val="000000" w:themeColor="text1"/>
          <w:sz w:val="32"/>
          <w:szCs w:val="32"/>
        </w:rPr>
        <w:t>城区道路网密度较低、交通设施建设滞后。对外交通尚待完善，渝湘高铁尚未建成，尚未开通铁路客运业务，南川北站等综合客运枢纽尚未建成，中长距离旅游可达性不佳，对外客流吸引能力较弱。高速公路客货运、铁路货运与周边区县的联系度较低，尚未发挥出西部陆海新通道和渝湘黔经济走廊节点优势。从城区路网结构上看，城区与永隆片区、南城街道旅游发展组团仍是单一通道，交通联系不便。次干路支路不完善，断头路较多，难以形成高效系统。停车供需矛盾区域不平衡。现有停车设施利用尚不充分，停车设施供给仍有不足。其中，居住区停车问题较为明显，老旧小区停车供需矛盾较为严重。</w:t>
      </w:r>
    </w:p>
    <w:p>
      <w:pPr>
        <w:spacing w:line="580" w:lineRule="exact"/>
        <w:ind w:firstLine="640" w:firstLineChars="200"/>
        <w:rPr>
          <w:rFonts w:ascii="方正黑体_GBK" w:eastAsia="方正黑体_GBK"/>
          <w:bCs/>
          <w:color w:val="000000" w:themeColor="text1"/>
          <w:kern w:val="0"/>
          <w:sz w:val="32"/>
          <w:szCs w:val="32"/>
        </w:rPr>
      </w:pPr>
      <w:r>
        <w:rPr>
          <w:rFonts w:hint="eastAsia" w:ascii="方正楷体_GBK" w:eastAsia="方正楷体_GBK"/>
          <w:bCs/>
          <w:color w:val="000000" w:themeColor="text1"/>
          <w:kern w:val="0"/>
          <w:sz w:val="32"/>
          <w:szCs w:val="32"/>
        </w:rPr>
        <w:t>（二）能源需求依然旺盛，电力设施要持续补强。</w:t>
      </w:r>
      <w:r>
        <w:rPr>
          <w:rFonts w:hint="eastAsia" w:eastAsia="方正仿宋_GBK"/>
          <w:color w:val="000000" w:themeColor="text1"/>
          <w:sz w:val="32"/>
          <w:szCs w:val="32"/>
        </w:rPr>
        <w:t>供电能力仍需加强。面对城区建设的新需求，南川区变电设施建设方面需进一步加强，电网结构仍需优化，主电源单一，存在供电稳定性不够和安全性不够的隐患，总体供电能力不匹配区域高速发展的需求，需要补充变电站提高容量和供电可靠性。天然气来源较单一，天然气管道气化率不足，同时城市居民生活水平的提高和经济的高速发展，现有天然气管线不能满足发展需求。</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（三）水务运行安全与保障整体水平有待进一步提升。</w:t>
      </w:r>
      <w:r>
        <w:rPr>
          <w:rFonts w:hint="eastAsia" w:eastAsia="方正仿宋_GBK"/>
          <w:color w:val="000000" w:themeColor="text1"/>
          <w:sz w:val="32"/>
          <w:szCs w:val="32"/>
        </w:rPr>
        <w:t>在供水设施方面，现状水厂的处理能力和水源的供水能力以及管网设施规模已难以支撑未来城市快速发展的用水量需求，需提前考虑扩容问题，智慧供水平台建设目前还处于初步发展阶段，需尽快完成水务综合地理信息系统建设，搭建供水管网信息化平台。在排污设施方面，排水管网系统不完善，在老旧城区、城中村区域仍然存在雨污分流不彻底，雨污混接错接，污水管道破损地下水入渗，生活污水直排问题仍然存在。</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（四）环卫设施无法满足未来城市建设需求。</w:t>
      </w:r>
      <w:r>
        <w:rPr>
          <w:rFonts w:hint="eastAsia" w:eastAsia="方正仿宋_GBK"/>
          <w:color w:val="000000" w:themeColor="text1"/>
          <w:sz w:val="32"/>
          <w:szCs w:val="32"/>
        </w:rPr>
        <w:t>垃圾处理场目前剩余库容量约6万立方，预计2022年末将填满，第二填埋区库容100万立方， 2021年底投入使用。目前南川区政府已与市环卫集团签订了餐厨垃圾收运协议，启动了南川区餐厨垃圾收运处理一体化项目，餐厨垃圾主要运往綦江，预计餐厨垃圾集中收运处理覆盖率达100%，但在垃圾转运处理区域协同有待提升。环卫作业车辆燃料加注点与停车位缺失。目前尚无环卫大型车辆充电点位或场站，不能满足国六排放标准清洁能源加注需求，并存在车辆停放缺口。</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（五）城市整体品质尚待提高。</w:t>
      </w:r>
      <w:r>
        <w:rPr>
          <w:rFonts w:hint="eastAsia" w:eastAsia="方正仿宋_GBK"/>
          <w:color w:val="000000" w:themeColor="text1"/>
          <w:sz w:val="32"/>
          <w:szCs w:val="32"/>
        </w:rPr>
        <w:t>人居生活环境有待进一步提升。目前，南川“海绵城市”和“综合管廊”建设尚处于试点探索阶段，“海绵城市”基础设施建设缺乏多样性且分布较为零散，难以形成连片效应，城市综合管廊基础设施建设在施工技术、运维模式、投融资模式等多方面仍不成熟。城市公园方面仍待加强，南川人均公园绿地面积12.96平方米/人，与重庆16.49平方米/人仍有较大差距。水环境修复和治理方面，大溪河、芦沟溪、蒲河、半溪河、黎香溪等河流及溪流</w:t>
      </w:r>
      <w:r>
        <w:rPr>
          <w:rFonts w:eastAsia="方正仿宋_GBK"/>
          <w:color w:val="000000" w:themeColor="text1"/>
          <w:sz w:val="32"/>
          <w:szCs w:val="32"/>
        </w:rPr>
        <w:t>水环境污染问题未得到完全解决，多片区污水管网</w:t>
      </w:r>
      <w:r>
        <w:rPr>
          <w:rFonts w:hint="eastAsia" w:eastAsia="方正仿宋_GBK"/>
          <w:color w:val="000000" w:themeColor="text1"/>
          <w:sz w:val="32"/>
          <w:szCs w:val="32"/>
        </w:rPr>
        <w:t>和污水处理设施</w:t>
      </w:r>
      <w:r>
        <w:rPr>
          <w:rFonts w:eastAsia="方正仿宋_GBK"/>
          <w:color w:val="000000" w:themeColor="text1"/>
          <w:sz w:val="32"/>
          <w:szCs w:val="32"/>
        </w:rPr>
        <w:t>亟需改造升级</w:t>
      </w:r>
      <w:r>
        <w:rPr>
          <w:rFonts w:hint="eastAsia" w:eastAsia="方正仿宋_GBK"/>
          <w:color w:val="000000" w:themeColor="text1"/>
          <w:sz w:val="32"/>
          <w:szCs w:val="32"/>
        </w:rPr>
        <w:t>。</w:t>
      </w:r>
    </w:p>
    <w:p>
      <w:pPr>
        <w:spacing w:line="580" w:lineRule="exact"/>
        <w:ind w:firstLine="640" w:firstLineChars="200"/>
        <w:rPr>
          <w:rFonts w:ascii="方正黑体_GBK" w:eastAsia="方正黑体_GBK"/>
          <w:b/>
          <w:bCs/>
          <w:color w:val="000000" w:themeColor="text1"/>
          <w:kern w:val="0"/>
          <w:sz w:val="32"/>
          <w:szCs w:val="32"/>
        </w:rPr>
      </w:pPr>
      <w:r>
        <w:rPr>
          <w:rFonts w:hint="eastAsia" w:ascii="方正楷体_GBK" w:eastAsia="方正楷体_GBK"/>
          <w:bCs/>
          <w:color w:val="000000" w:themeColor="text1"/>
          <w:kern w:val="0"/>
          <w:sz w:val="32"/>
          <w:szCs w:val="32"/>
        </w:rPr>
        <w:t>（六）新型智慧城市建设仍处于起步阶段。</w:t>
      </w:r>
      <w:r>
        <w:rPr>
          <w:rFonts w:hint="eastAsia" w:eastAsia="方正仿宋_GBK"/>
          <w:color w:val="000000" w:themeColor="text1"/>
          <w:sz w:val="32"/>
          <w:szCs w:val="32"/>
        </w:rPr>
        <w:t>目前，南川智慧城市的建设总体框架以及运行模式比较薄弱，缺少基础数据库及智慧城市公共信息平台，智慧信息化普及率仍然较低。同时，在智慧交通、智慧医疗、智慧排水、智慧消防、智慧城管等方面仍然缺乏系统平台的建设。</w:t>
      </w:r>
    </w:p>
    <w:p>
      <w:pPr>
        <w:spacing w:line="580" w:lineRule="exact"/>
        <w:ind w:firstLine="640" w:firstLineChars="200"/>
        <w:rPr>
          <w:rFonts w:eastAsia="方正仿宋_GBK"/>
          <w:color w:val="000000" w:themeColor="text1"/>
          <w:sz w:val="32"/>
          <w:szCs w:val="32"/>
        </w:rPr>
      </w:pPr>
      <w:r>
        <w:rPr>
          <w:rFonts w:hint="eastAsia" w:ascii="方正楷体_GBK" w:eastAsia="方正楷体_GBK"/>
          <w:bCs/>
          <w:color w:val="000000" w:themeColor="text1"/>
          <w:kern w:val="0"/>
          <w:sz w:val="32"/>
          <w:szCs w:val="32"/>
        </w:rPr>
        <w:t>（七）综合防灾设施供给仍有提升空间。</w:t>
      </w:r>
      <w:r>
        <w:rPr>
          <w:rFonts w:hint="eastAsia" w:eastAsia="方正仿宋_GBK"/>
          <w:color w:val="000000" w:themeColor="text1"/>
          <w:sz w:val="32"/>
          <w:szCs w:val="32"/>
        </w:rPr>
        <w:t>防洪排涝方面，部分河段排水能力不强，河道断面小，防洪标准较低，排水能力不足，致使雨水系统下游排水不畅，仅能抵御10年一遇及以下的洪水。全区应急避难场所53个，总面积31.95公顷，人均应急避难场所面积仅为1.82平方米，基本满足现阶段城区应急避难需求，但在布局优化、资源整合以及功能区划等方面存在改进空间。城市消防方面，消防基础设施总体薄弱，消防救援站、消防供水、消防车通道、消防装备等存在不同程度“欠账”，消防防设施范围以覆盖老城区为主，新区尚未覆盖，消防救援5分钟可达覆盖率仅50%。</w:t>
      </w:r>
    </w:p>
    <w:p>
      <w:pPr>
        <w:widowControl/>
        <w:spacing w:before="100" w:beforeAutospacing="1" w:after="100" w:afterAutospacing="1" w:line="580" w:lineRule="exact"/>
        <w:jc w:val="center"/>
        <w:outlineLvl w:val="1"/>
        <w:rPr>
          <w:rFonts w:ascii="方正黑体_GBK" w:eastAsia="方正黑体_GBK"/>
          <w:b/>
          <w:bCs/>
          <w:color w:val="000000" w:themeColor="text1"/>
          <w:kern w:val="0"/>
          <w:sz w:val="32"/>
          <w:szCs w:val="32"/>
        </w:rPr>
      </w:pPr>
      <w:r>
        <w:fldChar w:fldCharType="begin"/>
      </w:r>
      <w:r>
        <w:instrText xml:space="preserve"> HYPERLINK \l "_Toc57992997" </w:instrText>
      </w:r>
      <w:r>
        <w:fldChar w:fldCharType="separate"/>
      </w:r>
      <w:bookmarkStart w:id="28" w:name="_Toc90910483"/>
      <w:r>
        <w:rPr>
          <w:rFonts w:hint="eastAsia" w:ascii="方正黑体_GBK" w:eastAsia="方正黑体_GBK"/>
          <w:color w:val="000000" w:themeColor="text1"/>
          <w:kern w:val="0"/>
          <w:sz w:val="32"/>
          <w:szCs w:val="32"/>
        </w:rPr>
        <w:t>第三节 发展机遇</w:t>
      </w:r>
      <w:r>
        <w:rPr>
          <w:rFonts w:hint="eastAsia" w:ascii="方正黑体_GBK" w:eastAsia="方正黑体_GBK"/>
          <w:color w:val="000000" w:themeColor="text1"/>
          <w:kern w:val="0"/>
          <w:sz w:val="32"/>
          <w:szCs w:val="32"/>
        </w:rPr>
        <w:fldChar w:fldCharType="end"/>
      </w:r>
      <w:r>
        <w:rPr>
          <w:rFonts w:hint="eastAsia" w:ascii="方正黑体_GBK" w:eastAsia="方正黑体_GBK"/>
          <w:color w:val="000000" w:themeColor="text1"/>
          <w:kern w:val="0"/>
          <w:sz w:val="32"/>
          <w:szCs w:val="32"/>
        </w:rPr>
        <w:t>与形势</w:t>
      </w:r>
      <w:bookmarkEnd w:id="28"/>
    </w:p>
    <w:p>
      <w:pPr>
        <w:overflowPunct w:val="0"/>
        <w:spacing w:line="580" w:lineRule="exact"/>
        <w:ind w:firstLine="640" w:firstLineChars="200"/>
        <w:rPr>
          <w:rFonts w:ascii="方正黑体_GBK" w:eastAsia="方正黑体_GBK"/>
          <w:color w:val="000000" w:themeColor="text1"/>
          <w:sz w:val="32"/>
          <w:szCs w:val="32"/>
        </w:rPr>
      </w:pPr>
      <w:bookmarkStart w:id="29" w:name="_Toc86435546"/>
      <w:bookmarkStart w:id="30" w:name="_Toc81406961"/>
      <w:bookmarkStart w:id="31" w:name="_Toc90910484"/>
      <w:bookmarkStart w:id="32" w:name="_Toc86435836"/>
      <w:r>
        <w:rPr>
          <w:rFonts w:hint="eastAsia" w:ascii="方正黑体_GBK" w:eastAsia="方正黑体_GBK"/>
          <w:color w:val="000000" w:themeColor="text1"/>
          <w:sz w:val="32"/>
          <w:szCs w:val="32"/>
        </w:rPr>
        <w:t>一、发展机遇</w:t>
      </w:r>
      <w:bookmarkEnd w:id="29"/>
      <w:bookmarkEnd w:id="30"/>
      <w:bookmarkEnd w:id="31"/>
      <w:bookmarkEnd w:id="32"/>
    </w:p>
    <w:p>
      <w:pPr>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十四五”时期，南川面临重大的机遇是在党中央作出构建以国内大循环为主体、国内国际双循环相互促进的新发展格局的重大决策，共建“一带一路”、长江经济带发展、西部大开发、推动成渝地区双城经济圈建设等重大战略深入实施，供给侧结构性改革稳步推进，“一区两群”协调发展，为南川区坚持景城乡一体化发展，立足特色化，面向同城化，坚持从全局谋划一域、以一域服务全局，建设成为同城化发展先行区。</w:t>
      </w:r>
    </w:p>
    <w:p>
      <w:pPr>
        <w:overflowPunct w:val="0"/>
        <w:spacing w:line="580" w:lineRule="exact"/>
        <w:ind w:firstLine="640" w:firstLineChars="200"/>
        <w:rPr>
          <w:rFonts w:ascii="方正黑体_GBK" w:eastAsia="方正黑体_GBK"/>
          <w:color w:val="000000" w:themeColor="text1"/>
          <w:sz w:val="32"/>
          <w:szCs w:val="32"/>
        </w:rPr>
      </w:pPr>
      <w:bookmarkStart w:id="33" w:name="_Toc90910485"/>
      <w:bookmarkStart w:id="34" w:name="_Toc86435547"/>
      <w:bookmarkStart w:id="35" w:name="_Toc86435837"/>
      <w:bookmarkStart w:id="36" w:name="_Toc81406962"/>
      <w:r>
        <w:rPr>
          <w:rFonts w:hint="eastAsia" w:ascii="方正黑体_GBK" w:eastAsia="方正黑体_GBK"/>
          <w:color w:val="000000" w:themeColor="text1"/>
          <w:sz w:val="32"/>
          <w:szCs w:val="32"/>
        </w:rPr>
        <w:t>二、面临形势</w:t>
      </w:r>
      <w:bookmarkEnd w:id="33"/>
      <w:bookmarkEnd w:id="34"/>
      <w:bookmarkEnd w:id="35"/>
      <w:bookmarkEnd w:id="36"/>
    </w:p>
    <w:p>
      <w:pPr>
        <w:spacing w:line="580" w:lineRule="exact"/>
        <w:ind w:firstLine="640" w:firstLineChars="200"/>
        <w:rPr>
          <w:rFonts w:ascii="方正楷体_GBK" w:eastAsia="方正楷体_GBK"/>
          <w:bCs/>
          <w:color w:val="000000" w:themeColor="text1"/>
          <w:kern w:val="0"/>
          <w:sz w:val="32"/>
          <w:szCs w:val="32"/>
        </w:rPr>
      </w:pPr>
      <w:r>
        <w:rPr>
          <w:rFonts w:hint="eastAsia" w:ascii="方正楷体_GBK" w:eastAsia="方正楷体_GBK"/>
          <w:bCs/>
          <w:color w:val="000000" w:themeColor="text1"/>
          <w:kern w:val="0"/>
          <w:sz w:val="32"/>
          <w:szCs w:val="32"/>
        </w:rPr>
        <w:t>（一）生态文明建设对城市基础设施建设提出了新要求</w:t>
      </w:r>
    </w:p>
    <w:p>
      <w:pPr>
        <w:spacing w:line="58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长期以来，城市基础设施建设的着力点主要放在具有使用功能的基础设施方面，如供水、供气、电力、通信、公共交通、防灾避险等方面，轻视主要用于生态环境保护设施的规划建设，缺乏对新型城市形态以及新技术革命在城市基础设施建设中重要作用的认识。党的十九大以来，国家生态文明建设和污染防治攻坚战为城市基础设施建设提升带来了全新的历史机遇，使生态文明建设快速推进，以“疏解整治促提升”为核心的城市建设与治理对新时期城市基础设施建设提出了全新要求。</w:t>
      </w:r>
    </w:p>
    <w:p>
      <w:pPr>
        <w:spacing w:line="580" w:lineRule="exact"/>
        <w:ind w:firstLine="640" w:firstLineChars="200"/>
        <w:rPr>
          <w:rFonts w:ascii="方正楷体_GBK" w:hAnsi="方正楷体_GBK" w:eastAsia="方正楷体_GBK" w:cs="方正楷体_GBK"/>
          <w:color w:val="000000" w:themeColor="text1"/>
          <w:kern w:val="0"/>
          <w:sz w:val="32"/>
          <w:szCs w:val="32"/>
        </w:rPr>
      </w:pPr>
      <w:bookmarkStart w:id="37" w:name="_Toc70266204"/>
      <w:bookmarkStart w:id="38" w:name="_Toc70266293"/>
      <w:r>
        <w:rPr>
          <w:rFonts w:hint="eastAsia" w:ascii="方正楷体_GBK" w:hAnsi="方正楷体_GBK" w:eastAsia="方正楷体_GBK" w:cs="方正楷体_GBK"/>
          <w:color w:val="000000" w:themeColor="text1"/>
          <w:kern w:val="0"/>
          <w:sz w:val="32"/>
          <w:szCs w:val="32"/>
        </w:rPr>
        <w:t>（二）国土空间规划对城市基础设施建设提出了新目标</w:t>
      </w:r>
      <w:bookmarkEnd w:id="37"/>
      <w:bookmarkEnd w:id="38"/>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在编《重庆市南川区国土空间总体规划（2020-2035年）》包括加快编制城市基础设施等专项规划任务，进一步分解城市基础设施发展目标和任务，同步开展专项规划的编制工作，做好与相关规划编制的衔接，对包括城区在内的基础设施建设提出了系统化的新目标,重点推进城乡交通融合发展所需的基础设施建设。</w:t>
      </w:r>
    </w:p>
    <w:p>
      <w:pPr>
        <w:spacing w:line="580" w:lineRule="exact"/>
        <w:ind w:firstLine="640" w:firstLineChars="200"/>
        <w:rPr>
          <w:rFonts w:ascii="方正楷体_GBK" w:hAnsi="方正楷体_GBK" w:eastAsia="方正楷体_GBK" w:cs="方正楷体_GBK"/>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（三）区域发展战略对城市基础设施建设提出了新任务</w:t>
      </w:r>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立足区位优势，积极融入成渝地区双城经济圈。高标准高质量规划建设同城化发展先行区，加强与主城中心城区一体化发展，加快融入主城都市区中心城区。立足渝南黔北空间几何中心区位优势，加强与涪陵、武隆、道真、正安、桐梓、万盛、綦江等渝南黔北周边区域协同互动发展，不断提升城市承载力和辐射带动力。该区域发展战略成为推动南川区新阶段新发展的巨大动能，也更加对城市基础设施建设提升提出了新要求。</w:t>
      </w:r>
    </w:p>
    <w:p>
      <w:pPr>
        <w:spacing w:line="580" w:lineRule="exact"/>
        <w:ind w:firstLine="640" w:firstLineChars="200"/>
        <w:rPr>
          <w:rFonts w:ascii="方正楷体_GBK" w:hAnsi="方正楷体_GBK" w:eastAsia="方正楷体_GBK" w:cs="方正楷体_GBK"/>
          <w:color w:val="000000" w:themeColor="text1"/>
          <w:kern w:val="0"/>
          <w:sz w:val="32"/>
          <w:szCs w:val="32"/>
        </w:rPr>
      </w:pPr>
      <w:bookmarkStart w:id="39" w:name="_Toc40516908"/>
      <w:bookmarkStart w:id="40" w:name="_Toc70266206"/>
      <w:bookmarkStart w:id="41" w:name="_Toc70266295"/>
      <w:bookmarkStart w:id="42" w:name="_Toc40604959"/>
      <w:r>
        <w:rPr>
          <w:rFonts w:hint="eastAsia" w:ascii="方正楷体_GBK" w:hAnsi="方正楷体_GBK" w:eastAsia="方正楷体_GBK" w:cs="方正楷体_GBK"/>
          <w:color w:val="000000" w:themeColor="text1"/>
          <w:kern w:val="0"/>
          <w:sz w:val="32"/>
          <w:szCs w:val="32"/>
        </w:rPr>
        <w:t>（四）新冠肺炎疫情影响城市基础设施建设深层次变革</w:t>
      </w:r>
      <w:bookmarkEnd w:id="39"/>
      <w:bookmarkEnd w:id="40"/>
      <w:bookmarkEnd w:id="41"/>
      <w:bookmarkEnd w:id="42"/>
    </w:p>
    <w:p>
      <w:pPr>
        <w:spacing w:line="580" w:lineRule="exact"/>
        <w:ind w:firstLine="640" w:firstLineChars="200"/>
        <w:rPr>
          <w:color w:val="000000" w:themeColor="text1"/>
        </w:rPr>
      </w:pPr>
      <w:r>
        <w:rPr>
          <w:rFonts w:eastAsia="方正仿宋_GBK"/>
          <w:bCs/>
          <w:color w:val="000000" w:themeColor="text1"/>
          <w:kern w:val="0"/>
          <w:sz w:val="32"/>
          <w:szCs w:val="32"/>
        </w:rPr>
        <w:t>新冠肺炎疫情的爆发，对我国城市建设领域造成了深远的影响，健康城市、智慧城市的理念得到了广泛宣传普及，城市基础设施建设的新理念、新技术得到进一步发展，对新阶段区域城市基础设施建设产生深层次影响。虚拟现实技术、新一代信息技术、云计算、大数据、物联网、边缘计算、人工智能等高科技信息手段将更多地被应用于智慧城市管理领域，对健全城市生命线物联网感知、应对突发公共事件能力等方面具有重要的技术支撑作用。</w:t>
      </w:r>
    </w:p>
    <w:p>
      <w:pPr>
        <w:rPr>
          <w:color w:val="000000" w:themeColor="text1"/>
        </w:rPr>
      </w:pPr>
    </w:p>
    <w:p>
      <w:pPr>
        <w:widowControl/>
        <w:spacing w:before="100" w:beforeAutospacing="1" w:after="100" w:afterAutospacing="1" w:line="580" w:lineRule="exact"/>
        <w:jc w:val="center"/>
        <w:outlineLvl w:val="0"/>
        <w:rPr>
          <w:rFonts w:ascii="方正小标宋_GBK" w:eastAsia="方正小标宋_GBK"/>
          <w:b/>
          <w:color w:val="000000" w:themeColor="text1"/>
          <w:kern w:val="0"/>
          <w:sz w:val="36"/>
          <w:szCs w:val="36"/>
        </w:rPr>
      </w:pPr>
      <w:r>
        <w:fldChar w:fldCharType="begin"/>
      </w:r>
      <w:r>
        <w:instrText xml:space="preserve"> HYPERLINK \l "_Toc57992994" </w:instrText>
      </w:r>
      <w:r>
        <w:fldChar w:fldCharType="separate"/>
      </w:r>
      <w:bookmarkStart w:id="43" w:name="_Toc90910486"/>
      <w:r>
        <w:rPr>
          <w:rFonts w:hint="eastAsia" w:ascii="方正小标宋简体" w:hAnsi="方正小标宋简体" w:eastAsia="方正小标宋简体" w:cs="方正小标宋简体"/>
          <w:color w:val="000000" w:themeColor="text1"/>
          <w:kern w:val="0"/>
          <w:sz w:val="36"/>
          <w:szCs w:val="36"/>
        </w:rPr>
        <w:t xml:space="preserve">第二章 </w:t>
      </w:r>
      <w:r>
        <w:rPr>
          <w:rFonts w:hint="eastAsia" w:ascii="方正小标宋简体" w:hAnsi="方正小标宋简体" w:eastAsia="方正小标宋简体" w:cs="方正小标宋简体"/>
          <w:color w:val="000000" w:themeColor="text1"/>
          <w:kern w:val="0"/>
          <w:sz w:val="36"/>
          <w:szCs w:val="36"/>
        </w:rPr>
        <w:fldChar w:fldCharType="end"/>
      </w:r>
      <w:r>
        <w:rPr>
          <w:rFonts w:hint="eastAsia" w:ascii="方正小标宋简体" w:hAnsi="方正小标宋简体" w:eastAsia="方正小标宋简体" w:cs="方正小标宋简体"/>
          <w:color w:val="000000" w:themeColor="text1"/>
          <w:kern w:val="0"/>
          <w:sz w:val="36"/>
          <w:szCs w:val="36"/>
        </w:rPr>
        <w:t>总体思路和发展目标</w:t>
      </w:r>
      <w:bookmarkEnd w:id="43"/>
    </w:p>
    <w:p>
      <w:pPr>
        <w:spacing w:line="580" w:lineRule="exact"/>
        <w:ind w:firstLine="640" w:firstLineChars="200"/>
        <w:rPr>
          <w:rFonts w:ascii="方正黑体_GBK" w:eastAsia="方正黑体_GBK"/>
          <w:bCs/>
          <w:color w:val="000000" w:themeColor="text1"/>
          <w:kern w:val="0"/>
          <w:sz w:val="32"/>
          <w:szCs w:val="32"/>
        </w:rPr>
      </w:pPr>
      <w:r>
        <w:rPr>
          <w:rFonts w:eastAsia="方正仿宋_GBK"/>
          <w:bCs/>
          <w:color w:val="000000" w:themeColor="text1"/>
          <w:kern w:val="0"/>
          <w:sz w:val="32"/>
          <w:szCs w:val="32"/>
        </w:rPr>
        <w:t>贯彻党中央对重庆发展各项要求，落实市委市政府工作部署，结合《重庆市南川区国民经济和社会发展第十四个五年规划和二〇三五年远景目标纲要》，制定“十四五”时期基础设施发展的指导思想和基本原则，提出“十四五”目标和二〇三五年远景目标。</w:t>
      </w:r>
    </w:p>
    <w:p>
      <w:pPr>
        <w:pStyle w:val="4"/>
        <w:spacing w:line="580" w:lineRule="exact"/>
        <w:jc w:val="center"/>
        <w:rPr>
          <w:rFonts w:ascii="方正黑体_GBK" w:hAnsi="方正黑体_GBK" w:eastAsia="方正黑体_GBK" w:cs="方正黑体_GBK"/>
          <w:b w:val="0"/>
          <w:color w:val="000000" w:themeColor="text1"/>
          <w:kern w:val="0"/>
        </w:rPr>
      </w:pPr>
      <w:bookmarkStart w:id="44" w:name="_Toc90910487"/>
      <w:r>
        <w:rPr>
          <w:rFonts w:hint="eastAsia" w:ascii="方正黑体_GBK" w:hAnsi="方正黑体_GBK" w:eastAsia="方正黑体_GBK" w:cs="方正黑体_GBK"/>
          <w:b w:val="0"/>
          <w:color w:val="000000" w:themeColor="text1"/>
          <w:kern w:val="0"/>
        </w:rPr>
        <w:t xml:space="preserve">第一节 </w:t>
      </w:r>
      <w:r>
        <w:fldChar w:fldCharType="begin"/>
      </w:r>
      <w:r>
        <w:instrText xml:space="preserve"> HYPERLINK \l "_Toc57992999" </w:instrText>
      </w:r>
      <w:r>
        <w:fldChar w:fldCharType="separate"/>
      </w:r>
      <w:r>
        <w:rPr>
          <w:rFonts w:hint="eastAsia" w:ascii="方正黑体_GBK" w:hAnsi="方正黑体_GBK" w:eastAsia="方正黑体_GBK" w:cs="方正黑体_GBK"/>
          <w:b w:val="0"/>
          <w:color w:val="000000" w:themeColor="text1"/>
          <w:kern w:val="0"/>
        </w:rPr>
        <w:t>指导思想</w:t>
      </w:r>
      <w:bookmarkEnd w:id="44"/>
      <w:r>
        <w:rPr>
          <w:rFonts w:hint="eastAsia" w:ascii="方正黑体_GBK" w:hAnsi="方正黑体_GBK" w:eastAsia="方正黑体_GBK" w:cs="方正黑体_GBK"/>
          <w:b w:val="0"/>
          <w:color w:val="000000" w:themeColor="text1"/>
          <w:kern w:val="0"/>
        </w:rPr>
        <w:fldChar w:fldCharType="end"/>
      </w:r>
    </w:p>
    <w:p>
      <w:pPr>
        <w:spacing w:line="580" w:lineRule="exact"/>
        <w:ind w:firstLine="640" w:firstLineChars="200"/>
        <w:rPr>
          <w:rFonts w:eastAsia="方正仿宋_GBK"/>
          <w:bCs/>
          <w:color w:val="000000" w:themeColor="text1"/>
          <w:kern w:val="0"/>
          <w:sz w:val="32"/>
          <w:szCs w:val="32"/>
        </w:rPr>
      </w:pPr>
      <w:r>
        <w:rPr>
          <w:rFonts w:hint="eastAsia" w:eastAsia="方正仿宋_GBK"/>
          <w:bCs/>
          <w:color w:val="000000" w:themeColor="text1"/>
          <w:kern w:val="0"/>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坚持稳中求进工作总基调，坚持以供给侧结构性改革为主线，以改革创新为根本动力，以满足人民日益增长的美好生活需要为根本目的，以提高城市综合承载力、改善居民生活和生态环境质量为主线，切实推进“一区两群”协调发展。按照“全区一盘棋”的发展建设理念，围绕将南川区建设成为“山清水秀旅游名城、大健康产业集聚区、先进制造业基地、景城乡融合发展示范区、主城都市区后花园”的总体发展目标，打造与中心城区功能互补、融合互动的高品质新城区。强化基础设施投融资保障，持续增强城市综合服务功能和辐射带动能力，加快构建智能化、网络化、绿色化的现代基础设施体系。</w:t>
      </w:r>
    </w:p>
    <w:p>
      <w:pPr>
        <w:widowControl/>
        <w:spacing w:before="100" w:beforeAutospacing="1" w:after="100" w:afterAutospacing="1" w:line="580" w:lineRule="exact"/>
        <w:jc w:val="center"/>
        <w:outlineLvl w:val="1"/>
        <w:rPr>
          <w:rFonts w:ascii="方正黑体_GBK" w:hAnsi="方正黑体_GBK" w:eastAsia="方正黑体_GBK" w:cs="方正黑体_GBK"/>
          <w:color w:val="000000" w:themeColor="text1"/>
        </w:rPr>
      </w:pPr>
      <w:bookmarkStart w:id="45" w:name="_Toc90910488"/>
      <w:r>
        <w:rPr>
          <w:rFonts w:hint="eastAsia" w:ascii="方正黑体_GBK" w:hAnsi="方正黑体_GBK" w:eastAsia="方正黑体_GBK" w:cs="方正黑体_GBK"/>
          <w:color w:val="000000" w:themeColor="text1"/>
          <w:kern w:val="0"/>
          <w:sz w:val="32"/>
          <w:szCs w:val="32"/>
        </w:rPr>
        <w:t xml:space="preserve">第二节 </w:t>
      </w:r>
      <w:r>
        <w:fldChar w:fldCharType="begin"/>
      </w:r>
      <w:r>
        <w:instrText xml:space="preserve"> HYPERLINK \l "_Toc57993000" </w:instrText>
      </w:r>
      <w:r>
        <w:fldChar w:fldCharType="separate"/>
      </w:r>
      <w:r>
        <w:rPr>
          <w:rFonts w:hint="eastAsia" w:ascii="方正黑体_GBK" w:hAnsi="方正黑体_GBK" w:eastAsia="方正黑体_GBK" w:cs="方正黑体_GBK"/>
          <w:color w:val="000000" w:themeColor="text1"/>
          <w:kern w:val="0"/>
          <w:sz w:val="32"/>
          <w:szCs w:val="32"/>
        </w:rPr>
        <w:t>基本原则</w:t>
      </w:r>
      <w:bookmarkEnd w:id="45"/>
      <w:r>
        <w:rPr>
          <w:rFonts w:hint="eastAsia" w:ascii="方正黑体_GBK" w:hAnsi="方正黑体_GBK" w:eastAsia="方正黑体_GBK" w:cs="方正黑体_GBK"/>
          <w:color w:val="000000" w:themeColor="text1"/>
          <w:kern w:val="0"/>
          <w:sz w:val="32"/>
          <w:szCs w:val="32"/>
        </w:rPr>
        <w:fldChar w:fldCharType="end"/>
      </w:r>
    </w:p>
    <w:p>
      <w:pPr>
        <w:spacing w:line="580" w:lineRule="exact"/>
        <w:ind w:firstLine="640" w:firstLineChars="200"/>
        <w:rPr>
          <w:rFonts w:ascii="方正黑体_GBK" w:hAnsi="方正黑体_GBK" w:eastAsia="方正黑体_GBK" w:cs="方正黑体_GBK"/>
          <w:color w:val="000000" w:themeColor="text1"/>
          <w:kern w:val="0"/>
          <w:sz w:val="32"/>
          <w:szCs w:val="32"/>
        </w:rPr>
      </w:pPr>
      <w:bookmarkStart w:id="46" w:name="_Toc64991189"/>
      <w:bookmarkStart w:id="47" w:name="_Toc70266210"/>
      <w:bookmarkStart w:id="48" w:name="_Toc14288"/>
      <w:bookmarkStart w:id="49" w:name="_Toc66724033"/>
      <w:r>
        <w:rPr>
          <w:rFonts w:hint="eastAsia" w:ascii="方正黑体_GBK" w:hAnsi="方正黑体_GBK" w:eastAsia="方正黑体_GBK" w:cs="方正黑体_GBK"/>
          <w:color w:val="000000" w:themeColor="text1"/>
          <w:kern w:val="0"/>
          <w:sz w:val="32"/>
          <w:szCs w:val="32"/>
        </w:rPr>
        <w:t>一、系统规划、近远结合</w:t>
      </w:r>
      <w:bookmarkEnd w:id="46"/>
      <w:bookmarkEnd w:id="47"/>
      <w:bookmarkEnd w:id="48"/>
      <w:bookmarkEnd w:id="49"/>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充分认识城市基础设施的系统性、整体性，坚持先规划、后建设，切实加强规划的科学性、权威性和严肃性，发挥规划的控制和引领作用，有序推进城市基础设施建设，使其既要满足“十四五”时期建设发展的需要，又能为南川区未来长远的发展预留空间。</w:t>
      </w:r>
    </w:p>
    <w:p>
      <w:pPr>
        <w:spacing w:line="580" w:lineRule="exact"/>
        <w:ind w:firstLine="640" w:firstLineChars="200"/>
        <w:rPr>
          <w:rFonts w:ascii="方正黑体_GBK" w:hAnsi="方正黑体_GBK" w:eastAsia="方正黑体_GBK" w:cs="方正黑体_GBK"/>
          <w:color w:val="000000" w:themeColor="text1"/>
          <w:kern w:val="0"/>
          <w:sz w:val="32"/>
          <w:szCs w:val="32"/>
        </w:rPr>
      </w:pPr>
      <w:bookmarkStart w:id="50" w:name="_Toc64991190"/>
      <w:bookmarkStart w:id="51" w:name="_Toc66724034"/>
      <w:bookmarkStart w:id="52" w:name="_Toc70266211"/>
      <w:bookmarkStart w:id="53" w:name="_Toc15800"/>
      <w:r>
        <w:rPr>
          <w:rFonts w:hint="eastAsia" w:ascii="方正黑体_GBK" w:hAnsi="方正黑体_GBK" w:eastAsia="方正黑体_GBK" w:cs="方正黑体_GBK"/>
          <w:color w:val="000000" w:themeColor="text1"/>
          <w:kern w:val="0"/>
          <w:sz w:val="32"/>
          <w:szCs w:val="32"/>
        </w:rPr>
        <w:t>二、补齐短板、保障安全</w:t>
      </w:r>
      <w:bookmarkEnd w:id="50"/>
      <w:bookmarkEnd w:id="51"/>
      <w:bookmarkEnd w:id="52"/>
      <w:bookmarkEnd w:id="53"/>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重点加强对城市基础设施短板的建设力度，保障城市基础设施的有效供给，提高设施水平和服务质量。优先加强涉及城市安全的城市基础设施建设，着力提高基础设施应对各种风险的能力，提升基础设施建设标准和管理水平，消除安全隐患，保障城市平稳运行。</w:t>
      </w:r>
    </w:p>
    <w:p>
      <w:pPr>
        <w:spacing w:line="580" w:lineRule="exact"/>
        <w:ind w:firstLine="640" w:firstLineChars="200"/>
        <w:rPr>
          <w:rFonts w:ascii="方正黑体_GBK" w:hAnsi="方正黑体_GBK" w:eastAsia="方正黑体_GBK" w:cs="方正黑体_GBK"/>
          <w:color w:val="000000" w:themeColor="text1"/>
          <w:kern w:val="0"/>
          <w:sz w:val="32"/>
          <w:szCs w:val="32"/>
        </w:rPr>
      </w:pPr>
      <w:bookmarkStart w:id="54" w:name="_Toc64991191"/>
      <w:bookmarkStart w:id="55" w:name="_Toc66724035"/>
      <w:bookmarkStart w:id="56" w:name="_Toc22022"/>
      <w:bookmarkStart w:id="57" w:name="_Toc70266212"/>
      <w:r>
        <w:rPr>
          <w:rFonts w:hint="eastAsia" w:ascii="方正黑体_GBK" w:hAnsi="方正黑体_GBK" w:eastAsia="方正黑体_GBK" w:cs="方正黑体_GBK"/>
          <w:color w:val="000000" w:themeColor="text1"/>
          <w:kern w:val="0"/>
          <w:sz w:val="32"/>
          <w:szCs w:val="32"/>
        </w:rPr>
        <w:t>三、绿色生态、提质增效</w:t>
      </w:r>
      <w:bookmarkEnd w:id="54"/>
      <w:bookmarkEnd w:id="55"/>
      <w:bookmarkEnd w:id="56"/>
      <w:bookmarkEnd w:id="57"/>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节约集约利用土地、水、能源等资源，强化环境保护和生态修复，推动适应生态文明社会的生产生活方式和城市建设运营模式。优化调整城市基础设施系统结构，科学确定城市基础设施统筹布局，形成规模合理、等级有序、联系密切的城市基础设施网络，提高城市基础设施服务水平。</w:t>
      </w:r>
    </w:p>
    <w:p>
      <w:pPr>
        <w:spacing w:line="580" w:lineRule="exact"/>
        <w:ind w:firstLine="640" w:firstLineChars="200"/>
        <w:rPr>
          <w:rFonts w:ascii="方正黑体_GBK" w:hAnsi="方正黑体_GBK" w:eastAsia="方正黑体_GBK" w:cs="方正黑体_GBK"/>
          <w:color w:val="000000" w:themeColor="text1"/>
          <w:kern w:val="0"/>
          <w:sz w:val="32"/>
          <w:szCs w:val="32"/>
        </w:rPr>
      </w:pPr>
      <w:bookmarkStart w:id="58" w:name="_Toc66724036"/>
      <w:bookmarkStart w:id="59" w:name="_Toc70266213"/>
      <w:bookmarkStart w:id="60" w:name="_Toc31416"/>
      <w:bookmarkStart w:id="61" w:name="_Toc64991192"/>
      <w:r>
        <w:rPr>
          <w:rFonts w:hint="eastAsia" w:ascii="方正黑体_GBK" w:hAnsi="方正黑体_GBK" w:eastAsia="方正黑体_GBK" w:cs="方正黑体_GBK"/>
          <w:color w:val="000000" w:themeColor="text1"/>
          <w:kern w:val="0"/>
          <w:sz w:val="32"/>
          <w:szCs w:val="32"/>
        </w:rPr>
        <w:t>四、统筹协调、开放共享</w:t>
      </w:r>
      <w:bookmarkEnd w:id="58"/>
      <w:bookmarkEnd w:id="59"/>
      <w:bookmarkEnd w:id="60"/>
      <w:bookmarkEnd w:id="61"/>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做好城市基础设施系统与局部、建设与管理、需求与时序、地上与地下、生产与生活、投资与融资等各方面的统筹协调工作，促进城市基础设施建设的均衡发展，拓展城市基础设施资源的空间配置，实现城市基础设施的共建共享，进一步提高运行效率和建设水平。</w:t>
      </w:r>
    </w:p>
    <w:p>
      <w:pPr>
        <w:spacing w:line="580" w:lineRule="exact"/>
        <w:ind w:firstLine="640" w:firstLineChars="200"/>
        <w:rPr>
          <w:rFonts w:ascii="方正黑体_GBK" w:hAnsi="方正黑体_GBK" w:eastAsia="方正黑体_GBK" w:cs="方正黑体_GBK"/>
          <w:color w:val="000000" w:themeColor="text1"/>
          <w:kern w:val="0"/>
          <w:sz w:val="32"/>
          <w:szCs w:val="32"/>
        </w:rPr>
      </w:pPr>
      <w:bookmarkStart w:id="62" w:name="_Toc70266214"/>
      <w:bookmarkStart w:id="63" w:name="_Toc16577"/>
      <w:bookmarkStart w:id="64" w:name="_Toc64991193"/>
      <w:bookmarkStart w:id="65" w:name="_Toc66724037"/>
      <w:r>
        <w:rPr>
          <w:rFonts w:hint="eastAsia" w:ascii="方正黑体_GBK" w:hAnsi="方正黑体_GBK" w:eastAsia="方正黑体_GBK" w:cs="方正黑体_GBK"/>
          <w:color w:val="000000" w:themeColor="text1"/>
          <w:kern w:val="0"/>
          <w:sz w:val="32"/>
          <w:szCs w:val="32"/>
        </w:rPr>
        <w:t>五、协同创新、多元参与</w:t>
      </w:r>
      <w:bookmarkEnd w:id="62"/>
      <w:bookmarkEnd w:id="63"/>
      <w:bookmarkEnd w:id="64"/>
      <w:bookmarkEnd w:id="65"/>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加快实现城市基础设施建设领域的体制机制协同创新，拓宽城市基础设施建设资金来源渠道，鼓励多元社会资本参与区域城市基础设施的投资、建设与运营。推进城市基础设施重点任务项目化、清单化，发挥重点项目在城市建设发展过程中的基础支撑作用。</w:t>
      </w:r>
    </w:p>
    <w:p>
      <w:pPr>
        <w:spacing w:line="580" w:lineRule="exact"/>
        <w:ind w:firstLine="640" w:firstLineChars="200"/>
        <w:rPr>
          <w:rFonts w:ascii="方正黑体_GBK" w:hAnsi="方正黑体_GBK" w:eastAsia="方正黑体_GBK" w:cs="方正黑体_GBK"/>
          <w:color w:val="000000" w:themeColor="text1"/>
          <w:kern w:val="0"/>
          <w:sz w:val="32"/>
          <w:szCs w:val="32"/>
        </w:rPr>
      </w:pPr>
      <w:r>
        <w:rPr>
          <w:rFonts w:hint="eastAsia" w:ascii="方正黑体_GBK" w:hAnsi="方正黑体_GBK" w:eastAsia="方正黑体_GBK" w:cs="方正黑体_GBK"/>
          <w:color w:val="000000" w:themeColor="text1"/>
          <w:kern w:val="0"/>
          <w:sz w:val="32"/>
          <w:szCs w:val="32"/>
        </w:rPr>
        <w:t>六、互联互通，同城化发展</w:t>
      </w:r>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紧扣率先实现与中心城区同城化发展战略任务，立足特色化、面向同城化，着力推进基础设施的建设，提高互联互通水平，提高公共服务共建能力和共享水平，构建高效畅通、设施完善、绿色安全、生态优美的城区环境。</w:t>
      </w:r>
    </w:p>
    <w:p>
      <w:pPr>
        <w:widowControl/>
        <w:spacing w:before="100" w:beforeAutospacing="1" w:after="100" w:afterAutospacing="1" w:line="580" w:lineRule="exact"/>
        <w:jc w:val="center"/>
        <w:outlineLvl w:val="1"/>
        <w:rPr>
          <w:rFonts w:ascii="方正黑体_GBK" w:hAnsi="方正黑体_GBK" w:eastAsia="方正黑体_GBK" w:cs="方正黑体_GBK"/>
          <w:color w:val="000000" w:themeColor="text1"/>
        </w:rPr>
      </w:pPr>
      <w:bookmarkStart w:id="66" w:name="_Toc90910489"/>
      <w:r>
        <w:rPr>
          <w:rFonts w:hint="eastAsia" w:ascii="方正黑体_GBK" w:hAnsi="方正黑体_GBK" w:eastAsia="方正黑体_GBK" w:cs="方正黑体_GBK"/>
          <w:color w:val="000000" w:themeColor="text1"/>
          <w:kern w:val="0"/>
          <w:sz w:val="32"/>
          <w:szCs w:val="32"/>
        </w:rPr>
        <w:t xml:space="preserve">第三节 </w:t>
      </w:r>
      <w:r>
        <w:fldChar w:fldCharType="begin"/>
      </w:r>
      <w:r>
        <w:instrText xml:space="preserve"> HYPERLINK \l "_Toc57993001" </w:instrText>
      </w:r>
      <w:r>
        <w:fldChar w:fldCharType="separate"/>
      </w:r>
      <w:r>
        <w:rPr>
          <w:rFonts w:hint="eastAsia" w:ascii="方正黑体_GBK" w:hAnsi="方正黑体_GBK" w:eastAsia="方正黑体_GBK" w:cs="方正黑体_GBK"/>
          <w:color w:val="000000" w:themeColor="text1"/>
          <w:kern w:val="0"/>
          <w:sz w:val="32"/>
          <w:szCs w:val="32"/>
        </w:rPr>
        <w:t>发展目标</w:t>
      </w:r>
      <w:bookmarkEnd w:id="66"/>
      <w:r>
        <w:rPr>
          <w:rFonts w:hint="eastAsia" w:ascii="方正黑体_GBK" w:hAnsi="方正黑体_GBK" w:eastAsia="方正黑体_GBK" w:cs="方正黑体_GBK"/>
          <w:color w:val="000000" w:themeColor="text1"/>
          <w:kern w:val="0"/>
          <w:sz w:val="32"/>
          <w:szCs w:val="32"/>
        </w:rPr>
        <w:fldChar w:fldCharType="end"/>
      </w:r>
    </w:p>
    <w:p>
      <w:pPr>
        <w:pStyle w:val="5"/>
        <w:spacing w:before="0" w:after="0" w:line="580" w:lineRule="exact"/>
        <w:ind w:firstLine="640" w:firstLineChars="200"/>
        <w:rPr>
          <w:rFonts w:ascii="方正黑体_GBK" w:hAnsi="方正黑体_GBK" w:eastAsia="方正黑体_GBK" w:cs="方正黑体_GBK"/>
          <w:b w:val="0"/>
          <w:color w:val="000000" w:themeColor="text1"/>
          <w:kern w:val="0"/>
        </w:rPr>
      </w:pPr>
      <w:bookmarkStart w:id="67" w:name="_Toc26974"/>
      <w:bookmarkStart w:id="68" w:name="_Toc64991195"/>
      <w:bookmarkStart w:id="69" w:name="_Toc66724039"/>
      <w:bookmarkStart w:id="70" w:name="_Toc86435552"/>
      <w:bookmarkStart w:id="71" w:name="_Toc70266216"/>
      <w:bookmarkStart w:id="72" w:name="_Toc86435842"/>
      <w:bookmarkStart w:id="73" w:name="_Toc90910490"/>
      <w:r>
        <w:rPr>
          <w:rFonts w:hint="eastAsia" w:ascii="方正黑体_GBK" w:hAnsi="方正黑体_GBK" w:eastAsia="方正黑体_GBK" w:cs="方正黑体_GBK"/>
          <w:b w:val="0"/>
          <w:color w:val="000000" w:themeColor="text1"/>
          <w:kern w:val="0"/>
        </w:rPr>
        <w:t>一、总体目标</w:t>
      </w:r>
      <w:bookmarkEnd w:id="67"/>
      <w:bookmarkEnd w:id="68"/>
      <w:bookmarkEnd w:id="69"/>
      <w:bookmarkEnd w:id="70"/>
      <w:bookmarkEnd w:id="71"/>
      <w:bookmarkEnd w:id="72"/>
      <w:bookmarkEnd w:id="73"/>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紧紧围绕落实重庆市和南川区相关战略定位，突出抓好建设成为成山清水秀旅游名城、大健康产业集聚区、先进制造业基地、景城乡融合发展示范区</w:t>
      </w:r>
      <w:r>
        <w:rPr>
          <w:rFonts w:hint="eastAsia" w:eastAsia="方正仿宋_GBK"/>
          <w:bCs/>
          <w:color w:val="000000" w:themeColor="text1"/>
          <w:kern w:val="0"/>
          <w:sz w:val="32"/>
          <w:szCs w:val="32"/>
        </w:rPr>
        <w:t>、主城都市区后花园</w:t>
      </w:r>
      <w:r>
        <w:rPr>
          <w:rFonts w:eastAsia="方正仿宋_GBK"/>
          <w:bCs/>
          <w:color w:val="000000" w:themeColor="text1"/>
          <w:kern w:val="0"/>
          <w:sz w:val="32"/>
          <w:szCs w:val="32"/>
        </w:rPr>
        <w:t>的发展目标，建设一个“生态美、文旅兴、经济强、百姓富”的现代化新南川。着力推进道路、公共交通、供水、排水、环境卫生、园林绿化、城市地下管线（廊）、能源、防灾减灾及新型基础设施等领域的城市基础设施建设。至“十四五”末，基础设施短板有效改善，设施布局更加合理，规模适度超前，智慧化水平显著提升，产业发展硬件环境、人居环境、交通出行和公共环境质量明显改善，基本形成“系统完备、高效实用、智能绿色、安全可靠”的现代化基础设施体系。</w:t>
      </w:r>
    </w:p>
    <w:p>
      <w:pPr>
        <w:pStyle w:val="5"/>
        <w:spacing w:before="0" w:after="0" w:line="580" w:lineRule="exact"/>
        <w:ind w:firstLine="640" w:firstLineChars="200"/>
        <w:rPr>
          <w:rFonts w:ascii="方正黑体_GBK" w:hAnsi="方正黑体_GBK" w:eastAsia="方正黑体_GBK" w:cs="方正黑体_GBK"/>
          <w:b w:val="0"/>
          <w:color w:val="000000" w:themeColor="text1"/>
          <w:kern w:val="0"/>
        </w:rPr>
      </w:pPr>
      <w:bookmarkStart w:id="74" w:name="_Toc64991196"/>
      <w:bookmarkStart w:id="75" w:name="_Toc70266217"/>
      <w:bookmarkStart w:id="76" w:name="_Toc90910491"/>
      <w:bookmarkStart w:id="77" w:name="_Toc86435843"/>
      <w:bookmarkStart w:id="78" w:name="_Toc66724040"/>
      <w:bookmarkStart w:id="79" w:name="_Toc30789"/>
      <w:bookmarkStart w:id="80" w:name="_Toc86435553"/>
      <w:r>
        <w:rPr>
          <w:rFonts w:hint="eastAsia" w:ascii="方正黑体_GBK" w:hAnsi="方正黑体_GBK" w:eastAsia="方正黑体_GBK" w:cs="方正黑体_GBK"/>
          <w:b w:val="0"/>
          <w:color w:val="000000" w:themeColor="text1"/>
          <w:kern w:val="0"/>
        </w:rPr>
        <w:t>二、细分目标</w:t>
      </w:r>
      <w:bookmarkEnd w:id="74"/>
      <w:bookmarkEnd w:id="75"/>
      <w:bookmarkEnd w:id="76"/>
      <w:bookmarkEnd w:id="77"/>
      <w:bookmarkEnd w:id="78"/>
      <w:bookmarkEnd w:id="79"/>
      <w:bookmarkEnd w:id="80"/>
    </w:p>
    <w:p>
      <w:pPr>
        <w:spacing w:line="580" w:lineRule="exact"/>
        <w:ind w:firstLine="640" w:firstLineChars="200"/>
        <w:jc w:val="left"/>
        <w:rPr>
          <w:rFonts w:eastAsia="方正仿宋_GBK"/>
          <w:bCs/>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——建立互联互通的城市交通网络</w:t>
      </w:r>
      <w:r>
        <w:rPr>
          <w:rFonts w:hint="eastAsia" w:eastAsia="方正仿宋_GBK"/>
          <w:bCs/>
          <w:color w:val="000000" w:themeColor="text1"/>
          <w:kern w:val="0"/>
          <w:sz w:val="32"/>
          <w:szCs w:val="32"/>
        </w:rPr>
        <w:t>。到2025年，构建“以人为本、可持续发展、低碳环保、高效便捷、安全舒适”的综合交通体系，初步完成“两高三快两普一轨”的铁路网布局，“三横三纵三联线”的高速公路网布局，“两环四射五横七纵”的城区干道网格局，打造主城区东向、南向出渝大通道门户枢纽和西部陆海新通道节点城市。</w:t>
      </w:r>
      <w:r>
        <w:rPr>
          <w:rFonts w:eastAsia="方正仿宋_GBK"/>
          <w:bCs/>
          <w:color w:val="000000" w:themeColor="text1"/>
          <w:kern w:val="0"/>
          <w:sz w:val="32"/>
          <w:szCs w:val="32"/>
        </w:rPr>
        <w:t>坚持公共交通优先战略，优化交通出行结构，完善城市交通路网，改善城市道路微循环，加强静态交通管理，建成一批公交首末站和港湾式公交停靠站，公交站点500米覆盖率达到100%。持续建设公共停车场，城市停车难问题得到有效缓解，新建停车泊位充电桩覆盖率不低于10%。</w:t>
      </w:r>
    </w:p>
    <w:p>
      <w:pPr>
        <w:spacing w:line="580" w:lineRule="exact"/>
        <w:ind w:firstLine="640" w:firstLineChars="200"/>
        <w:jc w:val="left"/>
        <w:rPr>
          <w:rFonts w:eastAsia="方正仿宋_GBK"/>
          <w:bCs/>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——健全均衡高效的能源保障体系。</w:t>
      </w:r>
      <w:r>
        <w:rPr>
          <w:rFonts w:eastAsia="方正仿宋_GBK"/>
          <w:bCs/>
          <w:color w:val="000000" w:themeColor="text1"/>
          <w:kern w:val="0"/>
          <w:sz w:val="32"/>
          <w:szCs w:val="32"/>
        </w:rPr>
        <w:t>到2025年，构建与周边城市互联互通的能源输配体系，推动能源输入输出多元化、多极化，加大能源基础设施建设力度，提升城市承载服务能力。加强可再生能源开发利用，构建以220千伏电网为主骨架、110千伏为支撑的电网保障网络，提升能源保障能力，打造可持续发展的区域电网构架，科学合理规划架空线路走廊和电缆沟道，城镇配电网供电可靠率达到99.9%以上。构建多元多向、供需平衡、应急保障体系完善的城镇燃气系统，提高燃气输送管网的稳定性和可靠性，城镇天然气普及率达到98%以上。加快高压调压设施建设，完善高压管网建设，提高供气保障，实现居民气化率达到100%。</w:t>
      </w:r>
    </w:p>
    <w:p>
      <w:pPr>
        <w:spacing w:line="580" w:lineRule="exact"/>
        <w:ind w:firstLine="640" w:firstLineChars="200"/>
        <w:jc w:val="left"/>
        <w:rPr>
          <w:rFonts w:eastAsia="方正仿宋_GBK"/>
          <w:bCs/>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——构建环境友好的市政环卫设施体系。</w:t>
      </w:r>
      <w:r>
        <w:rPr>
          <w:rFonts w:eastAsia="方正仿宋_GBK"/>
          <w:bCs/>
          <w:color w:val="000000" w:themeColor="text1"/>
          <w:kern w:val="0"/>
          <w:sz w:val="32"/>
          <w:szCs w:val="32"/>
        </w:rPr>
        <w:t>到2025年，统筹南川区水生态资源，提升凤嘴江、龙</w:t>
      </w:r>
      <w:r>
        <w:rPr>
          <w:rFonts w:hint="eastAsia" w:eastAsia="方正仿宋_GBK"/>
          <w:bCs/>
          <w:color w:val="000000" w:themeColor="text1"/>
          <w:kern w:val="0"/>
          <w:sz w:val="32"/>
          <w:szCs w:val="32"/>
        </w:rPr>
        <w:t>岩</w:t>
      </w:r>
      <w:r>
        <w:rPr>
          <w:rFonts w:eastAsia="方正仿宋_GBK"/>
          <w:bCs/>
          <w:color w:val="000000" w:themeColor="text1"/>
          <w:kern w:val="0"/>
          <w:sz w:val="32"/>
          <w:szCs w:val="32"/>
        </w:rPr>
        <w:t>江、半溪河等重点河湖水系景观及滨水空间品质。健全安全高效供水系统，提升供水能力，优化区域供水格局。强化污水排放建设，全区污水处理率基本达到100%。优化水资源配置，用水效率显著提高。建设海绵城市、韧性城市，建成区面积比例达到40%以上。基本建成高起点、高标准的城市污水收集与处理系统，积极推进乡镇污水处理厂建设及干管改造，全区城市生活污水集中处理率达到98%，城市生活污水处理厂污泥无害化处理处置率达到100%。健全完善区域垃圾处理设施体系，建设一批密闭式清洁站独立设施，完善公共厕所设置，城市公厕等级达标率100%。合理规划环卫车辆大型停车站场、环卫作业清洁能源车辆燃料加注点位建设，推进环卫车辆新清能源化，进一步提升环卫道路作业效率。</w:t>
      </w:r>
    </w:p>
    <w:p>
      <w:pPr>
        <w:spacing w:line="580" w:lineRule="exact"/>
        <w:ind w:firstLine="640" w:firstLineChars="200"/>
        <w:jc w:val="left"/>
        <w:rPr>
          <w:rFonts w:eastAsia="方正仿宋_GBK"/>
          <w:bCs/>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——全面提升城市品质及生活环境。</w:t>
      </w:r>
      <w:r>
        <w:rPr>
          <w:rFonts w:eastAsia="方正仿宋_GBK"/>
          <w:bCs/>
          <w:color w:val="000000" w:themeColor="text1"/>
          <w:kern w:val="0"/>
          <w:sz w:val="32"/>
          <w:szCs w:val="32"/>
        </w:rPr>
        <w:t>到2025年，南川从海绵城市、城市综合管廊、城市公园绿地、城市更新等多方面综合施策提升城市品质及生活环境。通过海绵城市建设，示范带动和推广应用低影响开发建设模式，提升水源涵养能力，缓解雨洪内涝压力，促进水资源循环利用，促进生态文明建设。实施城市更新行动，统筹推进新城开发和旧城提档升级，建设景城乡深度融合的现代城市。开展城市体检，探索城市更新与生态恢复、公共服务完善等有机结合的模式。建设绿色人文城市，把“中医药文化、茶文化、竹文化”等南川优秀文化元素植入城市街区。完善城市公园体系，实现城市建成区绿地率达到38%以上，绿化覆盖率达到4</w:t>
      </w:r>
      <w:r>
        <w:rPr>
          <w:rFonts w:hint="eastAsia" w:eastAsia="方正仿宋_GBK"/>
          <w:bCs/>
          <w:color w:val="000000" w:themeColor="text1"/>
          <w:kern w:val="0"/>
          <w:sz w:val="32"/>
          <w:szCs w:val="32"/>
        </w:rPr>
        <w:t>2</w:t>
      </w:r>
      <w:r>
        <w:rPr>
          <w:rFonts w:eastAsia="方正仿宋_GBK"/>
          <w:bCs/>
          <w:color w:val="000000" w:themeColor="text1"/>
          <w:kern w:val="0"/>
          <w:sz w:val="32"/>
          <w:szCs w:val="32"/>
        </w:rPr>
        <w:t>%以上，人均公园绿地面积达到1</w:t>
      </w:r>
      <w:r>
        <w:rPr>
          <w:rFonts w:hint="eastAsia" w:eastAsia="方正仿宋_GBK"/>
          <w:bCs/>
          <w:color w:val="000000" w:themeColor="text1"/>
          <w:kern w:val="0"/>
          <w:sz w:val="32"/>
          <w:szCs w:val="32"/>
        </w:rPr>
        <w:t>0</w:t>
      </w:r>
      <w:r>
        <w:rPr>
          <w:rFonts w:eastAsia="方正仿宋_GBK"/>
          <w:bCs/>
          <w:color w:val="000000" w:themeColor="text1"/>
          <w:kern w:val="0"/>
          <w:sz w:val="32"/>
          <w:szCs w:val="32"/>
        </w:rPr>
        <w:t>平方米/人，公园绿地服务半径覆盖率90%，林</w:t>
      </w:r>
      <w:r>
        <w:rPr>
          <w:rFonts w:hint="eastAsia" w:eastAsia="方正仿宋_GBK"/>
          <w:bCs/>
          <w:color w:val="000000" w:themeColor="text1"/>
          <w:kern w:val="0"/>
          <w:sz w:val="32"/>
          <w:szCs w:val="32"/>
          <w:lang w:eastAsia="zh-CN"/>
        </w:rPr>
        <w:t>阴</w:t>
      </w:r>
      <w:r>
        <w:rPr>
          <w:rFonts w:eastAsia="方正仿宋_GBK"/>
          <w:bCs/>
          <w:color w:val="000000" w:themeColor="text1"/>
          <w:kern w:val="0"/>
          <w:sz w:val="32"/>
          <w:szCs w:val="32"/>
        </w:rPr>
        <w:t>路推广率达到8</w:t>
      </w:r>
      <w:r>
        <w:rPr>
          <w:rFonts w:hint="eastAsia" w:eastAsia="方正仿宋_GBK"/>
          <w:bCs/>
          <w:color w:val="000000" w:themeColor="text1"/>
          <w:kern w:val="0"/>
          <w:sz w:val="32"/>
          <w:szCs w:val="32"/>
        </w:rPr>
        <w:t>5</w:t>
      </w:r>
      <w:r>
        <w:rPr>
          <w:rFonts w:eastAsia="方正仿宋_GBK"/>
          <w:bCs/>
          <w:color w:val="000000" w:themeColor="text1"/>
          <w:kern w:val="0"/>
          <w:sz w:val="32"/>
          <w:szCs w:val="32"/>
        </w:rPr>
        <w:t>%。</w:t>
      </w:r>
    </w:p>
    <w:p>
      <w:pPr>
        <w:spacing w:line="580" w:lineRule="exact"/>
        <w:ind w:firstLine="640" w:firstLineChars="200"/>
        <w:jc w:val="left"/>
        <w:rPr>
          <w:rFonts w:eastAsia="方正仿宋_GBK"/>
          <w:bCs/>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——布局新型智慧城市基础设施。</w:t>
      </w:r>
      <w:r>
        <w:rPr>
          <w:rFonts w:eastAsia="方正仿宋_GBK"/>
          <w:bCs/>
          <w:color w:val="000000" w:themeColor="text1"/>
          <w:kern w:val="0"/>
          <w:sz w:val="32"/>
          <w:szCs w:val="32"/>
        </w:rPr>
        <w:t>加快建设5G、千兆光纤、IPv6等基础网络，打造泛在互联立体网络体系。完善网络安全防护设施，建设信息安全监测、防护、测试、演练平台，构建高效先进的网络安全综合防御体系。大力推动基础设施数字化改造及数字乡村建设，构建智慧城市智能化中枢，推动交通、水利、能源、气象、公共安全、社会治理等基础设施智能化升级，实现传统和新型基础设施融合发展、多场景应用，打造智慧社区，建设智慧城市。有序提升城市公共充电桩、换电站覆盖能力。推进智慧气象建设，提高气象灾害监测预报预警和信息发布智能化水平，实现高水平基站覆盖，5G商用网络覆盖率实现100%。</w:t>
      </w:r>
    </w:p>
    <w:p>
      <w:pPr>
        <w:spacing w:line="580" w:lineRule="exact"/>
        <w:ind w:firstLine="640" w:firstLineChars="200"/>
        <w:jc w:val="left"/>
        <w:rPr>
          <w:rFonts w:eastAsia="方正仿宋_GBK"/>
          <w:bCs/>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——构建安全可靠的防灾减灾体系。</w:t>
      </w:r>
      <w:r>
        <w:rPr>
          <w:rFonts w:eastAsia="方正仿宋_GBK"/>
          <w:bCs/>
          <w:color w:val="000000" w:themeColor="text1"/>
          <w:kern w:val="0"/>
          <w:sz w:val="32"/>
          <w:szCs w:val="32"/>
        </w:rPr>
        <w:t>到2025年，构建防洪减灾体系，推进江河支流治理、涝片治理、城市防洪等区域治理工程以及中小河流治理、沟河疏浚、病险水库除险加固等水利工程建设，提高防洪除涝水平，形成流域、区域、城镇统筹协调的防洪减灾体系。</w:t>
      </w:r>
      <w:bookmarkStart w:id="81" w:name="_Toc38981853"/>
      <w:r>
        <w:rPr>
          <w:rFonts w:eastAsia="方正仿宋_GBK"/>
          <w:bCs/>
          <w:color w:val="000000" w:themeColor="text1"/>
          <w:kern w:val="0"/>
          <w:sz w:val="32"/>
          <w:szCs w:val="32"/>
        </w:rPr>
        <w:t>完善消防基础设施</w:t>
      </w:r>
      <w:bookmarkEnd w:id="81"/>
      <w:r>
        <w:rPr>
          <w:rFonts w:eastAsia="方正仿宋_GBK"/>
          <w:bCs/>
          <w:color w:val="000000" w:themeColor="text1"/>
          <w:kern w:val="0"/>
          <w:sz w:val="32"/>
          <w:szCs w:val="32"/>
        </w:rPr>
        <w:t>，提高消防站建设标准，提升消防装备配备水平</w:t>
      </w:r>
      <w:bookmarkStart w:id="82" w:name="_Toc38981855"/>
      <w:r>
        <w:rPr>
          <w:rFonts w:eastAsia="方正仿宋_GBK"/>
          <w:bCs/>
          <w:color w:val="000000" w:themeColor="text1"/>
          <w:kern w:val="0"/>
          <w:sz w:val="32"/>
          <w:szCs w:val="32"/>
        </w:rPr>
        <w:t>，加强“智慧消防”建设，综合应急救援能力全面提升</w:t>
      </w:r>
      <w:bookmarkEnd w:id="82"/>
      <w:bookmarkStart w:id="83" w:name="_Toc38981857"/>
      <w:r>
        <w:rPr>
          <w:rFonts w:eastAsia="方正仿宋_GBK"/>
          <w:bCs/>
          <w:color w:val="000000" w:themeColor="text1"/>
          <w:kern w:val="0"/>
          <w:sz w:val="32"/>
          <w:szCs w:val="32"/>
        </w:rPr>
        <w:t>，防灾减灾科技含量显著提升</w:t>
      </w:r>
      <w:bookmarkEnd w:id="83"/>
      <w:r>
        <w:rPr>
          <w:rFonts w:eastAsia="方正仿宋_GBK"/>
          <w:bCs/>
          <w:color w:val="000000" w:themeColor="text1"/>
          <w:kern w:val="0"/>
          <w:sz w:val="32"/>
          <w:szCs w:val="32"/>
        </w:rPr>
        <w:t>。健全完善预警信息发布体系，预警信息发布公众覆盖面基本达到全覆盖。</w:t>
      </w:r>
    </w:p>
    <w:p>
      <w:pPr>
        <w:spacing w:line="580" w:lineRule="exact"/>
        <w:jc w:val="center"/>
        <w:rPr>
          <w:rFonts w:ascii="方正黑体_GBK" w:eastAsia="方正黑体_GBK"/>
          <w:color w:val="000000" w:themeColor="text1"/>
          <w:kern w:val="0"/>
          <w:sz w:val="32"/>
          <w:szCs w:val="32"/>
        </w:rPr>
      </w:pPr>
      <w:r>
        <w:rPr>
          <w:rFonts w:hint="eastAsia" w:ascii="方正黑体_GBK" w:eastAsia="方正黑体_GBK"/>
          <w:color w:val="000000" w:themeColor="text1"/>
          <w:kern w:val="0"/>
          <w:sz w:val="32"/>
          <w:szCs w:val="32"/>
        </w:rPr>
        <w:t>专栏 “十四五”规划城市基础设施发展指标表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3966"/>
        <w:gridCol w:w="1544"/>
        <w:gridCol w:w="107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613" w:type="pct"/>
            <w:shd w:val="clear" w:color="auto" w:fill="auto"/>
            <w:vAlign w:val="center"/>
          </w:tcPr>
          <w:p>
            <w:pPr>
              <w:snapToGrid w:val="0"/>
              <w:jc w:val="center"/>
              <w:rPr>
                <w:rFonts w:ascii="方正黑体_GBK" w:eastAsia="方正黑体_GBK"/>
                <w:b/>
                <w:bCs/>
                <w:color w:val="000000" w:themeColor="text1"/>
                <w:kern w:val="0"/>
                <w:szCs w:val="21"/>
              </w:rPr>
            </w:pPr>
            <w:r>
              <w:rPr>
                <w:rFonts w:hint="eastAsia" w:ascii="方正黑体_GBK" w:eastAsia="方正黑体_GBK"/>
                <w:b/>
                <w:bCs/>
                <w:color w:val="000000" w:themeColor="text1"/>
                <w:kern w:val="0"/>
                <w:szCs w:val="21"/>
              </w:rPr>
              <w:t>类别</w:t>
            </w:r>
          </w:p>
        </w:tc>
        <w:tc>
          <w:tcPr>
            <w:tcW w:w="2273" w:type="pct"/>
            <w:shd w:val="clear" w:color="auto" w:fill="auto"/>
            <w:vAlign w:val="center"/>
          </w:tcPr>
          <w:p>
            <w:pPr>
              <w:snapToGrid w:val="0"/>
              <w:jc w:val="center"/>
              <w:rPr>
                <w:rFonts w:ascii="方正黑体_GBK" w:eastAsia="方正黑体_GBK"/>
                <w:b/>
                <w:bCs/>
                <w:color w:val="000000" w:themeColor="text1"/>
                <w:kern w:val="0"/>
                <w:szCs w:val="21"/>
              </w:rPr>
            </w:pPr>
            <w:r>
              <w:rPr>
                <w:rFonts w:hint="eastAsia" w:ascii="方正黑体_GBK" w:eastAsia="方正黑体_GBK"/>
                <w:b/>
                <w:bCs/>
                <w:color w:val="000000" w:themeColor="text1"/>
                <w:kern w:val="0"/>
                <w:szCs w:val="21"/>
              </w:rPr>
              <w:t>指标名称</w:t>
            </w:r>
          </w:p>
        </w:tc>
        <w:tc>
          <w:tcPr>
            <w:tcW w:w="885" w:type="pct"/>
            <w:shd w:val="clear" w:color="auto" w:fill="auto"/>
            <w:vAlign w:val="center"/>
          </w:tcPr>
          <w:p>
            <w:pPr>
              <w:snapToGrid w:val="0"/>
              <w:jc w:val="center"/>
              <w:rPr>
                <w:rFonts w:ascii="方正黑体_GBK" w:eastAsia="方正黑体_GBK"/>
                <w:b/>
                <w:bCs/>
                <w:color w:val="000000" w:themeColor="text1"/>
                <w:kern w:val="0"/>
                <w:szCs w:val="21"/>
              </w:rPr>
            </w:pPr>
            <w:r>
              <w:rPr>
                <w:rFonts w:hint="eastAsia" w:ascii="方正黑体_GBK" w:eastAsia="方正黑体_GBK"/>
                <w:b/>
                <w:bCs/>
                <w:color w:val="000000" w:themeColor="text1"/>
                <w:kern w:val="0"/>
                <w:szCs w:val="21"/>
              </w:rPr>
              <w:t>单位</w:t>
            </w:r>
          </w:p>
        </w:tc>
        <w:tc>
          <w:tcPr>
            <w:tcW w:w="614" w:type="pct"/>
            <w:shd w:val="clear" w:color="auto" w:fill="auto"/>
            <w:vAlign w:val="center"/>
          </w:tcPr>
          <w:p>
            <w:pPr>
              <w:snapToGrid w:val="0"/>
              <w:jc w:val="center"/>
              <w:rPr>
                <w:rFonts w:ascii="方正黑体_GBK" w:eastAsia="方正黑体_GBK"/>
                <w:b/>
                <w:bCs/>
                <w:color w:val="000000" w:themeColor="text1"/>
                <w:kern w:val="0"/>
                <w:szCs w:val="21"/>
              </w:rPr>
            </w:pPr>
            <w:r>
              <w:rPr>
                <w:rFonts w:hint="eastAsia" w:ascii="方正黑体_GBK" w:eastAsia="方正黑体_GBK"/>
                <w:b/>
                <w:bCs/>
                <w:color w:val="000000" w:themeColor="text1"/>
                <w:kern w:val="0"/>
                <w:szCs w:val="21"/>
              </w:rPr>
              <w:t>2020年</w:t>
            </w:r>
          </w:p>
        </w:tc>
        <w:tc>
          <w:tcPr>
            <w:tcW w:w="613" w:type="pct"/>
            <w:shd w:val="clear" w:color="auto" w:fill="auto"/>
            <w:vAlign w:val="center"/>
          </w:tcPr>
          <w:p>
            <w:pPr>
              <w:snapToGrid w:val="0"/>
              <w:jc w:val="center"/>
              <w:rPr>
                <w:rFonts w:ascii="方正黑体_GBK" w:eastAsia="方正黑体_GBK"/>
                <w:b/>
                <w:bCs/>
                <w:color w:val="000000" w:themeColor="text1"/>
                <w:kern w:val="0"/>
                <w:szCs w:val="21"/>
              </w:rPr>
            </w:pPr>
            <w:r>
              <w:rPr>
                <w:rFonts w:hint="eastAsia" w:ascii="方正黑体_GBK" w:eastAsia="方正黑体_GBK"/>
                <w:b/>
                <w:bCs/>
                <w:color w:val="000000" w:themeColor="text1"/>
                <w:kern w:val="0"/>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restar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城市交通设施</w:t>
            </w: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城市道路通车里程</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km</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114.25</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城市路网密度</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km/km</w:t>
            </w:r>
            <w:r>
              <w:rPr>
                <w:rFonts w:ascii="方正黑体_GBK" w:eastAsia="方正黑体_GBK"/>
                <w:bCs/>
                <w:color w:val="000000" w:themeColor="text1"/>
                <w:kern w:val="0"/>
                <w:szCs w:val="21"/>
              </w:rPr>
              <w:t>²</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7.33</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建成区道路面积率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12.7</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城市公交出行分担率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22</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万人公共交通车保有量</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辆</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4.3</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停车泊位数</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万个</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4.96</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restar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市政环卫设施</w:t>
            </w: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城市建成区自来水普及率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98</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管网基本漏损率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21</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城市生活污水集中处理率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95</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污泥无害化处置率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城镇生活垃圾无害化处理率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生活垃圾回收利用率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restar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生活与生态环境设施</w:t>
            </w: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建成区海绵城市面积比例</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城市综合管廊建设里程</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km</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0.14</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建成区绿地率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35.7</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公园服务半径覆盖率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72.3</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人均公园绿地面积</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ｍ</w:t>
            </w:r>
            <w:r>
              <w:rPr>
                <w:rFonts w:ascii="方正黑体_GBK" w:eastAsia="方正黑体_GBK"/>
                <w:bCs/>
                <w:color w:val="000000" w:themeColor="text1"/>
                <w:kern w:val="0"/>
                <w:szCs w:val="21"/>
              </w:rPr>
              <w:t>²</w:t>
            </w:r>
            <w:r>
              <w:rPr>
                <w:rFonts w:hint="eastAsia" w:ascii="方正黑体_GBK" w:eastAsia="方正黑体_GBK"/>
                <w:bCs/>
                <w:color w:val="000000" w:themeColor="text1"/>
                <w:kern w:val="0"/>
                <w:szCs w:val="21"/>
              </w:rPr>
              <w:t>/人</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12.96</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居民人均生活用电量</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千瓦时</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700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天然气年供气总量</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亿m</w:t>
            </w:r>
            <w:r>
              <w:rPr>
                <w:rFonts w:ascii="方正黑体_GBK" w:eastAsia="方正黑体_GBK"/>
                <w:bCs/>
                <w:color w:val="000000" w:themeColor="text1"/>
                <w:kern w:val="0"/>
                <w:szCs w:val="21"/>
              </w:rPr>
              <w:t>³</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0.33</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城镇天然气普及率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可再生能源消费比重</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restar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智慧城市</w:t>
            </w: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城市光纤入户率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shd w:val="clear" w:color="auto" w:fill="auto"/>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移动基站</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万个</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0.21</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shd w:val="clear" w:color="auto" w:fill="auto"/>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互联网出口带宽</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0.1</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restar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城市防灾减灾设施</w:t>
            </w: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市政消火栓建有率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市政消火栓完好率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普通城市消防站覆盖面积</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km</w:t>
            </w:r>
            <w:r>
              <w:rPr>
                <w:rFonts w:ascii="方正黑体_GBK" w:eastAsia="方正黑体_GBK"/>
                <w:bCs/>
                <w:color w:val="000000" w:themeColor="text1"/>
                <w:kern w:val="0"/>
                <w:szCs w:val="21"/>
              </w:rPr>
              <w:t>²</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13.5</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3" w:type="pct"/>
            <w:vMerge w:val="continue"/>
            <w:vAlign w:val="center"/>
          </w:tcPr>
          <w:p>
            <w:pPr>
              <w:snapToGrid w:val="0"/>
              <w:jc w:val="center"/>
              <w:rPr>
                <w:rFonts w:ascii="方正黑体_GBK" w:eastAsia="方正黑体_GBK"/>
                <w:bCs/>
                <w:color w:val="000000" w:themeColor="text1"/>
                <w:kern w:val="0"/>
                <w:szCs w:val="21"/>
              </w:rPr>
            </w:pPr>
          </w:p>
        </w:tc>
        <w:tc>
          <w:tcPr>
            <w:tcW w:w="227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城市防洪达标率</w:t>
            </w:r>
          </w:p>
        </w:tc>
        <w:tc>
          <w:tcPr>
            <w:tcW w:w="885"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614"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c>
          <w:tcPr>
            <w:tcW w:w="613" w:type="pct"/>
            <w:shd w:val="clear" w:color="auto" w:fill="auto"/>
            <w:vAlign w:val="center"/>
          </w:tcPr>
          <w:p>
            <w:pPr>
              <w:snapToGrid w:val="0"/>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w:t>
            </w:r>
          </w:p>
        </w:tc>
      </w:tr>
    </w:tbl>
    <w:p>
      <w:pPr>
        <w:rPr>
          <w:color w:val="000000" w:themeColor="text1"/>
        </w:rPr>
      </w:pPr>
      <w:r>
        <w:rPr>
          <w:color w:val="000000" w:themeColor="text1"/>
        </w:rPr>
        <w:br w:type="page"/>
      </w:r>
    </w:p>
    <w:p>
      <w:pPr>
        <w:widowControl/>
        <w:spacing w:before="100" w:beforeAutospacing="1" w:after="100" w:afterAutospacing="1" w:line="580" w:lineRule="exact"/>
        <w:jc w:val="center"/>
        <w:outlineLvl w:val="0"/>
        <w:rPr>
          <w:rFonts w:ascii="方正小标宋_GBK" w:eastAsia="方正小标宋_GBK"/>
          <w:b/>
          <w:color w:val="000000" w:themeColor="text1"/>
          <w:kern w:val="0"/>
          <w:sz w:val="36"/>
          <w:szCs w:val="36"/>
        </w:rPr>
      </w:pPr>
      <w:r>
        <w:fldChar w:fldCharType="begin"/>
      </w:r>
      <w:r>
        <w:instrText xml:space="preserve"> HYPERLINK \l "_Toc57992994" </w:instrText>
      </w:r>
      <w:r>
        <w:fldChar w:fldCharType="separate"/>
      </w:r>
      <w:bookmarkStart w:id="84" w:name="_Toc90910492"/>
      <w:r>
        <w:rPr>
          <w:rFonts w:hint="eastAsia" w:ascii="方正小标宋_GBK" w:eastAsia="方正小标宋_GBK"/>
          <w:color w:val="000000" w:themeColor="text1"/>
          <w:kern w:val="0"/>
          <w:sz w:val="36"/>
          <w:szCs w:val="36"/>
        </w:rPr>
        <w:t xml:space="preserve">第三章 </w:t>
      </w:r>
      <w:r>
        <w:rPr>
          <w:rFonts w:hint="eastAsia" w:ascii="方正小标宋_GBK" w:eastAsia="方正小标宋_GBK"/>
          <w:color w:val="000000" w:themeColor="text1"/>
          <w:kern w:val="0"/>
          <w:sz w:val="36"/>
          <w:szCs w:val="36"/>
        </w:rPr>
        <w:fldChar w:fldCharType="end"/>
      </w:r>
      <w:r>
        <w:rPr>
          <w:rFonts w:hint="eastAsia" w:ascii="方正小标宋_GBK" w:eastAsia="方正小标宋_GBK"/>
          <w:color w:val="000000" w:themeColor="text1"/>
          <w:kern w:val="0"/>
          <w:sz w:val="36"/>
          <w:szCs w:val="36"/>
        </w:rPr>
        <w:t>战略任务和重大举措</w:t>
      </w:r>
      <w:bookmarkEnd w:id="84"/>
    </w:p>
    <w:p>
      <w:pPr>
        <w:widowControl/>
        <w:spacing w:before="100" w:beforeAutospacing="1" w:after="100" w:afterAutospacing="1" w:line="580" w:lineRule="exact"/>
        <w:jc w:val="center"/>
        <w:outlineLvl w:val="1"/>
        <w:rPr>
          <w:rFonts w:ascii="方正黑体_GBK" w:eastAsia="方正黑体_GBK"/>
          <w:b/>
          <w:bCs/>
          <w:color w:val="000000" w:themeColor="text1"/>
          <w:kern w:val="0"/>
          <w:sz w:val="32"/>
          <w:szCs w:val="32"/>
        </w:rPr>
      </w:pPr>
      <w:r>
        <w:fldChar w:fldCharType="begin"/>
      </w:r>
      <w:r>
        <w:instrText xml:space="preserve"> HYPERLINK \l "_Toc57993003" </w:instrText>
      </w:r>
      <w:r>
        <w:fldChar w:fldCharType="separate"/>
      </w:r>
      <w:bookmarkStart w:id="85" w:name="_Toc90910493"/>
      <w:r>
        <w:rPr>
          <w:rFonts w:hint="eastAsia" w:ascii="方正黑体_GBK" w:eastAsia="方正黑体_GBK"/>
          <w:color w:val="000000" w:themeColor="text1"/>
          <w:kern w:val="0"/>
          <w:sz w:val="32"/>
          <w:szCs w:val="32"/>
        </w:rPr>
        <w:t>第一节</w:t>
      </w:r>
      <w:r>
        <w:rPr>
          <w:rFonts w:hint="eastAsia" w:ascii="方正黑体_GBK" w:eastAsia="方正黑体_GBK"/>
          <w:color w:val="000000" w:themeColor="text1"/>
          <w:kern w:val="0"/>
          <w:sz w:val="32"/>
          <w:szCs w:val="32"/>
        </w:rPr>
        <w:fldChar w:fldCharType="end"/>
      </w:r>
      <w:r>
        <w:rPr>
          <w:rFonts w:hint="eastAsia" w:ascii="方正黑体_GBK" w:eastAsia="方正黑体_GBK"/>
          <w:color w:val="000000" w:themeColor="text1"/>
          <w:kern w:val="0"/>
          <w:sz w:val="32"/>
          <w:szCs w:val="32"/>
        </w:rPr>
        <w:t xml:space="preserve"> 建立互联互通的城市交通网络</w:t>
      </w:r>
      <w:bookmarkEnd w:id="85"/>
    </w:p>
    <w:p>
      <w:pPr>
        <w:pStyle w:val="5"/>
        <w:spacing w:before="0" w:after="0" w:line="580" w:lineRule="exact"/>
        <w:ind w:firstLine="640" w:firstLineChars="200"/>
        <w:rPr>
          <w:rFonts w:ascii="方正黑体_GBK" w:hAnsi="方正黑体_GBK" w:eastAsia="方正黑体_GBK" w:cs="方正黑体_GBK"/>
          <w:b w:val="0"/>
          <w:color w:val="000000" w:themeColor="text1"/>
          <w:kern w:val="0"/>
        </w:rPr>
      </w:pPr>
      <w:bookmarkStart w:id="86" w:name="_Toc90910494"/>
      <w:r>
        <w:rPr>
          <w:rFonts w:hint="eastAsia" w:ascii="方正黑体_GBK" w:hAnsi="方正黑体_GBK" w:eastAsia="方正黑体_GBK" w:cs="方正黑体_GBK"/>
          <w:b w:val="0"/>
          <w:color w:val="000000" w:themeColor="text1"/>
          <w:kern w:val="0"/>
        </w:rPr>
        <w:t>一、快速推进对外交通设施</w:t>
      </w:r>
      <w:bookmarkEnd w:id="86"/>
    </w:p>
    <w:p>
      <w:pPr>
        <w:spacing w:line="580" w:lineRule="exact"/>
        <w:ind w:firstLine="643" w:firstLineChars="200"/>
        <w:rPr>
          <w:rFonts w:ascii="方正仿宋_GBK" w:hAnsi="方正仿宋_GBK" w:eastAsia="方正仿宋_GBK" w:cs="方正仿宋_GBK"/>
          <w:b/>
          <w:bCs/>
          <w:color w:val="000000" w:themeColor="text1"/>
          <w:kern w:val="0"/>
          <w:sz w:val="32"/>
          <w:szCs w:val="32"/>
        </w:rPr>
      </w:pPr>
      <w:r>
        <w:rPr>
          <w:rFonts w:hint="eastAsia" w:ascii="方正仿宋_GBK" w:hAnsi="方正仿宋_GBK" w:eastAsia="方正仿宋_GBK" w:cs="方正仿宋_GBK"/>
          <w:b/>
          <w:bCs/>
          <w:color w:val="000000" w:themeColor="text1"/>
          <w:kern w:val="0"/>
          <w:sz w:val="32"/>
          <w:szCs w:val="32"/>
        </w:rPr>
        <w:t>1.铁路设施建设规划</w:t>
      </w:r>
    </w:p>
    <w:p>
      <w:pPr>
        <w:spacing w:line="58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一是加快推进渝湘高铁建设进度，力争“十四五”期建成运营，建成南川境内第一条高速铁路，构建起南川与主城中心城区、成渝双城经济圈的客运快速通道。建设渝湘高铁南川站综合客运枢纽。</w:t>
      </w:r>
    </w:p>
    <w:p>
      <w:pPr>
        <w:spacing w:line="58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二是继续推进广涪柳铁路研究论证工作，并途径南川山王坪、大有设站，提升南川南向出海货运干线能力，积极融入陆海新通道及连接海上丝绸之路。</w:t>
      </w:r>
    </w:p>
    <w:p>
      <w:pPr>
        <w:spacing w:line="58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三是积极开展渝桂高铁、重庆-铜仁城际铁路研究论证工作，争取在南川布设站点，打通南川至粤港澳大湾区铁路通道。</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表3-1 南川区铁路建设规划表</w:t>
      </w:r>
    </w:p>
    <w:tbl>
      <w:tblPr>
        <w:tblStyle w:val="18"/>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235"/>
        <w:gridCol w:w="2250"/>
        <w:gridCol w:w="1322"/>
        <w:gridCol w:w="1407"/>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0" w:type="auto"/>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235"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50"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322"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407"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71"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235"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渝湘高铁（南川段）</w:t>
            </w:r>
          </w:p>
        </w:tc>
        <w:tc>
          <w:tcPr>
            <w:tcW w:w="2250"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建成高速铁路55公里</w:t>
            </w:r>
          </w:p>
        </w:tc>
        <w:tc>
          <w:tcPr>
            <w:tcW w:w="1322"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2020-2025</w:t>
            </w:r>
          </w:p>
        </w:tc>
        <w:tc>
          <w:tcPr>
            <w:tcW w:w="1407"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850000</w:t>
            </w:r>
          </w:p>
        </w:tc>
        <w:tc>
          <w:tcPr>
            <w:tcW w:w="771"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235"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广涪柳铁路（南川段）</w:t>
            </w:r>
          </w:p>
        </w:tc>
        <w:tc>
          <w:tcPr>
            <w:tcW w:w="2250"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南川境内约</w:t>
            </w:r>
            <w:r>
              <w:rPr>
                <w:rFonts w:ascii="方正黑体_GBK" w:eastAsia="方正黑体_GBK"/>
                <w:bCs/>
                <w:color w:val="000000" w:themeColor="text1"/>
                <w:kern w:val="0"/>
                <w:szCs w:val="21"/>
              </w:rPr>
              <w:t>76</w:t>
            </w:r>
            <w:r>
              <w:rPr>
                <w:rFonts w:hint="eastAsia" w:ascii="方正黑体_GBK" w:eastAsia="方正黑体_GBK"/>
                <w:bCs/>
                <w:color w:val="000000" w:themeColor="text1"/>
                <w:kern w:val="0"/>
                <w:szCs w:val="21"/>
              </w:rPr>
              <w:t>公里</w:t>
            </w:r>
          </w:p>
        </w:tc>
        <w:tc>
          <w:tcPr>
            <w:tcW w:w="1322"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1407" w:type="dxa"/>
            <w:vAlign w:val="center"/>
          </w:tcPr>
          <w:p>
            <w:pPr>
              <w:snapToGrid w:val="0"/>
              <w:spacing w:line="32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400000</w:t>
            </w:r>
          </w:p>
        </w:tc>
        <w:tc>
          <w:tcPr>
            <w:tcW w:w="771"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前期储备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235"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渝桂高铁（南川段）</w:t>
            </w:r>
          </w:p>
        </w:tc>
        <w:tc>
          <w:tcPr>
            <w:tcW w:w="2250"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南川境内约40公里</w:t>
            </w:r>
          </w:p>
        </w:tc>
        <w:tc>
          <w:tcPr>
            <w:tcW w:w="1322"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1407" w:type="dxa"/>
            <w:vAlign w:val="center"/>
          </w:tcPr>
          <w:p>
            <w:pPr>
              <w:snapToGrid w:val="0"/>
              <w:spacing w:line="32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400000</w:t>
            </w:r>
          </w:p>
        </w:tc>
        <w:tc>
          <w:tcPr>
            <w:tcW w:w="771"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前期论证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2235"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重庆-铜仁城际铁路（南川段）</w:t>
            </w:r>
          </w:p>
        </w:tc>
        <w:tc>
          <w:tcPr>
            <w:tcW w:w="2250"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南川境内约56公里</w:t>
            </w:r>
          </w:p>
        </w:tc>
        <w:tc>
          <w:tcPr>
            <w:tcW w:w="1322"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1407" w:type="dxa"/>
            <w:vAlign w:val="center"/>
          </w:tcPr>
          <w:p>
            <w:pPr>
              <w:snapToGrid w:val="0"/>
              <w:spacing w:line="32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2600000</w:t>
            </w:r>
          </w:p>
        </w:tc>
        <w:tc>
          <w:tcPr>
            <w:tcW w:w="771" w:type="dxa"/>
            <w:vAlign w:val="center"/>
          </w:tcPr>
          <w:p>
            <w:pPr>
              <w:snapToGrid w:val="0"/>
              <w:spacing w:line="32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前期论证</w:t>
            </w:r>
          </w:p>
        </w:tc>
      </w:tr>
    </w:tbl>
    <w:p>
      <w:pPr>
        <w:spacing w:line="580" w:lineRule="exact"/>
        <w:ind w:firstLine="643" w:firstLineChars="200"/>
        <w:rPr>
          <w:rFonts w:ascii="方正仿宋_GBK" w:hAnsi="方正仿宋_GBK" w:eastAsia="方正仿宋_GBK" w:cs="方正仿宋_GBK"/>
          <w:b/>
          <w:bCs/>
          <w:color w:val="000000" w:themeColor="text1"/>
          <w:kern w:val="0"/>
          <w:sz w:val="32"/>
          <w:szCs w:val="32"/>
        </w:rPr>
      </w:pPr>
      <w:r>
        <w:rPr>
          <w:rFonts w:hint="eastAsia" w:ascii="方正仿宋_GBK" w:hAnsi="方正仿宋_GBK" w:eastAsia="方正仿宋_GBK" w:cs="方正仿宋_GBK"/>
          <w:b/>
          <w:bCs/>
          <w:color w:val="000000" w:themeColor="text1"/>
          <w:kern w:val="0"/>
          <w:sz w:val="32"/>
          <w:szCs w:val="32"/>
        </w:rPr>
        <w:t>2.轨道设施建设规划</w:t>
      </w:r>
    </w:p>
    <w:p>
      <w:pPr>
        <w:spacing w:line="580" w:lineRule="exact"/>
        <w:ind w:firstLine="640" w:firstLineChars="200"/>
        <w:rPr>
          <w:rFonts w:ascii="方正黑体_GBK" w:eastAsia="方正黑体_GBK"/>
          <w:bCs/>
          <w:color w:val="000000" w:themeColor="text1"/>
          <w:kern w:val="0"/>
          <w:sz w:val="32"/>
          <w:szCs w:val="32"/>
        </w:rPr>
      </w:pPr>
      <w:r>
        <w:rPr>
          <w:rFonts w:eastAsia="方正仿宋_GBK"/>
          <w:bCs/>
          <w:color w:val="000000" w:themeColor="text1"/>
          <w:kern w:val="0"/>
          <w:sz w:val="32"/>
          <w:szCs w:val="32"/>
        </w:rPr>
        <w:t>加快推进城轨快线南川线</w:t>
      </w:r>
      <w:r>
        <w:rPr>
          <w:rFonts w:hint="eastAsia" w:eastAsia="方正仿宋_GBK"/>
          <w:bCs/>
          <w:color w:val="000000" w:themeColor="text1"/>
          <w:kern w:val="0"/>
          <w:sz w:val="32"/>
          <w:szCs w:val="32"/>
        </w:rPr>
        <w:t>（C6线）建设前期</w:t>
      </w:r>
      <w:r>
        <w:rPr>
          <w:rFonts w:eastAsia="方正仿宋_GBK"/>
          <w:bCs/>
          <w:color w:val="000000" w:themeColor="text1"/>
          <w:kern w:val="0"/>
          <w:sz w:val="32"/>
          <w:szCs w:val="32"/>
        </w:rPr>
        <w:t>工作，</w:t>
      </w:r>
      <w:r>
        <w:rPr>
          <w:rFonts w:hint="eastAsia" w:eastAsia="方正仿宋_GBK"/>
          <w:bCs/>
          <w:color w:val="000000" w:themeColor="text1"/>
          <w:kern w:val="0"/>
          <w:sz w:val="32"/>
          <w:szCs w:val="32"/>
        </w:rPr>
        <w:t>确保2022年底</w:t>
      </w:r>
      <w:r>
        <w:rPr>
          <w:rFonts w:eastAsia="方正仿宋_GBK"/>
          <w:bCs/>
          <w:color w:val="000000" w:themeColor="text1"/>
          <w:kern w:val="0"/>
          <w:sz w:val="32"/>
          <w:szCs w:val="32"/>
        </w:rPr>
        <w:t>开工建设，打造与主城中心城区快速衔接多层次轨道交通网络，形成主城中心城区—南川1小时通勤圈。</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 南川区城市轨道建设规划表</w:t>
      </w:r>
    </w:p>
    <w:tbl>
      <w:tblPr>
        <w:tblStyle w:val="18"/>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023"/>
        <w:gridCol w:w="2135"/>
        <w:gridCol w:w="1594"/>
        <w:gridCol w:w="139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2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13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5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2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城轨快线南川线（C6线）</w:t>
            </w:r>
          </w:p>
        </w:tc>
        <w:tc>
          <w:tcPr>
            <w:tcW w:w="213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南川境内约52公里</w:t>
            </w:r>
          </w:p>
        </w:tc>
        <w:tc>
          <w:tcPr>
            <w:tcW w:w="15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2023-2027</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173</w:t>
            </w:r>
            <w:r>
              <w:rPr>
                <w:rFonts w:ascii="方正黑体_GBK" w:eastAsia="方正黑体_GBK"/>
                <w:bCs/>
                <w:color w:val="000000" w:themeColor="text1"/>
                <w:kern w:val="0"/>
                <w:szCs w:val="21"/>
              </w:rPr>
              <w:t>0000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开工建设</w:t>
            </w:r>
          </w:p>
        </w:tc>
      </w:tr>
    </w:tbl>
    <w:p>
      <w:pPr>
        <w:spacing w:line="580" w:lineRule="exact"/>
        <w:ind w:firstLine="643" w:firstLineChars="200"/>
        <w:rPr>
          <w:rFonts w:eastAsia="方正仿宋_GBK"/>
          <w:b/>
          <w:bCs/>
          <w:color w:val="000000" w:themeColor="text1"/>
          <w:kern w:val="0"/>
          <w:sz w:val="32"/>
          <w:szCs w:val="32"/>
        </w:rPr>
      </w:pPr>
      <w:r>
        <w:rPr>
          <w:rFonts w:eastAsia="方正仿宋_GBK"/>
          <w:b/>
          <w:bCs/>
          <w:color w:val="000000" w:themeColor="text1"/>
          <w:kern w:val="0"/>
          <w:sz w:val="32"/>
          <w:szCs w:val="32"/>
        </w:rPr>
        <w:t>3</w:t>
      </w:r>
      <w:r>
        <w:rPr>
          <w:rFonts w:hint="eastAsia" w:eastAsia="方正仿宋_GBK"/>
          <w:b/>
          <w:bCs/>
          <w:color w:val="000000" w:themeColor="text1"/>
          <w:kern w:val="0"/>
          <w:sz w:val="32"/>
          <w:szCs w:val="32"/>
        </w:rPr>
        <w:t>.</w:t>
      </w:r>
      <w:r>
        <w:rPr>
          <w:rFonts w:eastAsia="方正仿宋_GBK"/>
          <w:b/>
          <w:bCs/>
          <w:color w:val="000000" w:themeColor="text1"/>
          <w:kern w:val="0"/>
          <w:sz w:val="32"/>
          <w:szCs w:val="32"/>
        </w:rPr>
        <w:t>高速公路建设规划</w:t>
      </w:r>
    </w:p>
    <w:p>
      <w:pPr>
        <w:spacing w:line="580" w:lineRule="exact"/>
        <w:ind w:firstLine="643" w:firstLineChars="200"/>
        <w:rPr>
          <w:rFonts w:eastAsia="方正仿宋_GBK"/>
          <w:bCs/>
          <w:color w:val="000000" w:themeColor="text1"/>
          <w:kern w:val="0"/>
          <w:sz w:val="32"/>
          <w:szCs w:val="32"/>
        </w:rPr>
      </w:pPr>
      <w:r>
        <w:rPr>
          <w:rFonts w:eastAsia="方正仿宋_GBK"/>
          <w:b/>
          <w:color w:val="000000" w:themeColor="text1"/>
          <w:kern w:val="0"/>
          <w:sz w:val="32"/>
          <w:szCs w:val="32"/>
        </w:rPr>
        <w:t>一是</w:t>
      </w:r>
      <w:r>
        <w:rPr>
          <w:rFonts w:eastAsia="方正仿宋_GBK"/>
          <w:bCs/>
          <w:color w:val="000000" w:themeColor="text1"/>
          <w:kern w:val="0"/>
          <w:sz w:val="32"/>
          <w:szCs w:val="32"/>
        </w:rPr>
        <w:t>协调推进渝湘高速复线建设进度，力争“十四五”期建成通车，加密与主城中心城区联系，缓解渝湘高速拥堵问题。</w:t>
      </w:r>
    </w:p>
    <w:p>
      <w:pPr>
        <w:spacing w:line="580" w:lineRule="exact"/>
        <w:ind w:firstLine="643" w:firstLineChars="200"/>
        <w:rPr>
          <w:rFonts w:ascii="方正黑体_GBK" w:eastAsia="方正黑体_GBK"/>
          <w:bCs/>
          <w:color w:val="000000" w:themeColor="text1"/>
          <w:kern w:val="0"/>
          <w:sz w:val="28"/>
          <w:szCs w:val="28"/>
        </w:rPr>
      </w:pPr>
      <w:r>
        <w:rPr>
          <w:rFonts w:eastAsia="方正仿宋_GBK"/>
          <w:b/>
          <w:color w:val="000000" w:themeColor="text1"/>
          <w:kern w:val="0"/>
          <w:sz w:val="32"/>
          <w:szCs w:val="32"/>
        </w:rPr>
        <w:t>二是</w:t>
      </w:r>
      <w:r>
        <w:rPr>
          <w:rFonts w:eastAsia="方正仿宋_GBK"/>
          <w:bCs/>
          <w:color w:val="000000" w:themeColor="text1"/>
          <w:kern w:val="0"/>
          <w:sz w:val="32"/>
          <w:szCs w:val="32"/>
        </w:rPr>
        <w:t>加快推进建设南川西环高速，“十四五”期建成通车，实现域内片区的互联互通，支撑产业经济发展；继续推进万盛至正安高速、合溪至大有高速前期工作，力争“十四五”期开工建设，高效联结渝黔合作先行示范区和南向出海大通道。</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表3-3南川区高速公路建设规划表</w:t>
      </w:r>
    </w:p>
    <w:tbl>
      <w:tblPr>
        <w:tblStyle w:val="18"/>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320"/>
        <w:gridCol w:w="2315"/>
        <w:gridCol w:w="1354"/>
        <w:gridCol w:w="1197"/>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blHeader/>
        </w:trPr>
        <w:tc>
          <w:tcPr>
            <w:tcW w:w="64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32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31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35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19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4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32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渝湘高速复线（南川段）</w:t>
            </w:r>
          </w:p>
        </w:tc>
        <w:tc>
          <w:tcPr>
            <w:tcW w:w="231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南川段全长约54公里</w:t>
            </w:r>
          </w:p>
        </w:tc>
        <w:tc>
          <w:tcPr>
            <w:tcW w:w="135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2020-2025</w:t>
            </w:r>
          </w:p>
        </w:tc>
        <w:tc>
          <w:tcPr>
            <w:tcW w:w="119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1230000</w:t>
            </w:r>
          </w:p>
        </w:tc>
        <w:tc>
          <w:tcPr>
            <w:tcW w:w="7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32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南川西环高速</w:t>
            </w:r>
          </w:p>
        </w:tc>
        <w:tc>
          <w:tcPr>
            <w:tcW w:w="231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南川段全长约12公里</w:t>
            </w:r>
          </w:p>
        </w:tc>
        <w:tc>
          <w:tcPr>
            <w:tcW w:w="135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2021-2023</w:t>
            </w:r>
          </w:p>
        </w:tc>
        <w:tc>
          <w:tcPr>
            <w:tcW w:w="119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18</w:t>
            </w:r>
            <w:r>
              <w:rPr>
                <w:rFonts w:ascii="方正黑体_GBK" w:eastAsia="方正黑体_GBK"/>
                <w:bCs/>
                <w:color w:val="000000" w:themeColor="text1"/>
                <w:kern w:val="0"/>
                <w:szCs w:val="21"/>
              </w:rPr>
              <w:t>0000</w:t>
            </w:r>
          </w:p>
        </w:tc>
        <w:tc>
          <w:tcPr>
            <w:tcW w:w="7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4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32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万盛至正安高速</w:t>
            </w:r>
          </w:p>
        </w:tc>
        <w:tc>
          <w:tcPr>
            <w:tcW w:w="231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南川段全长约45公里</w:t>
            </w:r>
          </w:p>
        </w:tc>
        <w:tc>
          <w:tcPr>
            <w:tcW w:w="135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119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w:t>
            </w:r>
            <w:r>
              <w:rPr>
                <w:rFonts w:hint="eastAsia" w:ascii="方正黑体_GBK" w:eastAsia="方正黑体_GBK"/>
                <w:bCs/>
                <w:color w:val="000000" w:themeColor="text1"/>
                <w:kern w:val="0"/>
                <w:szCs w:val="21"/>
              </w:rPr>
              <w:t>68</w:t>
            </w:r>
            <w:r>
              <w:rPr>
                <w:rFonts w:ascii="方正黑体_GBK" w:eastAsia="方正黑体_GBK"/>
                <w:bCs/>
                <w:color w:val="000000" w:themeColor="text1"/>
                <w:kern w:val="0"/>
                <w:szCs w:val="21"/>
              </w:rPr>
              <w:t>0000</w:t>
            </w:r>
          </w:p>
        </w:tc>
        <w:tc>
          <w:tcPr>
            <w:tcW w:w="7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前期储备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4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232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合溪至大有高速</w:t>
            </w:r>
          </w:p>
        </w:tc>
        <w:tc>
          <w:tcPr>
            <w:tcW w:w="231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南川段全长约23公里</w:t>
            </w:r>
          </w:p>
        </w:tc>
        <w:tc>
          <w:tcPr>
            <w:tcW w:w="135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119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340000</w:t>
            </w:r>
          </w:p>
        </w:tc>
        <w:tc>
          <w:tcPr>
            <w:tcW w:w="7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前期储备</w:t>
            </w:r>
          </w:p>
        </w:tc>
      </w:tr>
    </w:tbl>
    <w:p>
      <w:pPr>
        <w:spacing w:line="580" w:lineRule="exact"/>
        <w:ind w:firstLine="643" w:firstLineChars="200"/>
        <w:rPr>
          <w:rFonts w:ascii="方正仿宋_GBK" w:hAnsi="方正仿宋_GBK" w:eastAsia="方正仿宋_GBK" w:cs="方正仿宋_GBK"/>
          <w:b/>
          <w:bCs/>
          <w:color w:val="000000" w:themeColor="text1"/>
          <w:kern w:val="0"/>
          <w:sz w:val="32"/>
          <w:szCs w:val="32"/>
        </w:rPr>
      </w:pPr>
      <w:r>
        <w:rPr>
          <w:rFonts w:hint="eastAsia" w:ascii="方正仿宋_GBK" w:hAnsi="方正仿宋_GBK" w:eastAsia="方正仿宋_GBK" w:cs="方正仿宋_GBK"/>
          <w:b/>
          <w:bCs/>
          <w:color w:val="000000" w:themeColor="text1"/>
          <w:kern w:val="0"/>
          <w:sz w:val="32"/>
          <w:szCs w:val="32"/>
        </w:rPr>
        <w:t>4.快速通道建设规划</w:t>
      </w:r>
    </w:p>
    <w:p>
      <w:pPr>
        <w:spacing w:line="58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加快推进重庆—南川快速通道方案研究论证工作，力争“十四五”期能开工建设，实现南川与主城中心城区城市快速连接，支撑快速融入主城中心城区。</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表3-4南川至主城快速通道建设规划表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315"/>
        <w:gridCol w:w="1857"/>
        <w:gridCol w:w="1600"/>
        <w:gridCol w:w="139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31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185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60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31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重庆—南川快速通道</w:t>
            </w:r>
          </w:p>
        </w:tc>
        <w:tc>
          <w:tcPr>
            <w:tcW w:w="185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南川段全长约51公里，双向六车道</w:t>
            </w:r>
          </w:p>
        </w:tc>
        <w:tc>
          <w:tcPr>
            <w:tcW w:w="160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1399"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2100000</w:t>
            </w:r>
          </w:p>
        </w:tc>
        <w:tc>
          <w:tcPr>
            <w:tcW w:w="766"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前期储备</w:t>
            </w:r>
          </w:p>
        </w:tc>
      </w:tr>
    </w:tbl>
    <w:p>
      <w:pPr>
        <w:pStyle w:val="5"/>
        <w:spacing w:before="0" w:after="0" w:line="580" w:lineRule="exact"/>
        <w:ind w:firstLine="640" w:firstLineChars="200"/>
        <w:rPr>
          <w:rFonts w:ascii="方正黑体_GBK" w:hAnsi="方正黑体_GBK" w:eastAsia="方正黑体_GBK" w:cs="方正黑体_GBK"/>
          <w:b w:val="0"/>
          <w:color w:val="000000" w:themeColor="text1"/>
          <w:kern w:val="0"/>
        </w:rPr>
      </w:pPr>
      <w:bookmarkStart w:id="87" w:name="_Toc90910495"/>
      <w:r>
        <w:rPr>
          <w:rFonts w:hint="eastAsia" w:ascii="方正黑体_GBK" w:hAnsi="方正黑体_GBK" w:eastAsia="方正黑体_GBK" w:cs="方正黑体_GBK"/>
          <w:b w:val="0"/>
          <w:color w:val="000000" w:themeColor="text1"/>
          <w:kern w:val="0"/>
        </w:rPr>
        <w:t>二、大力完善城市交通设施</w:t>
      </w:r>
      <w:bookmarkEnd w:id="87"/>
    </w:p>
    <w:p>
      <w:pPr>
        <w:spacing w:line="580" w:lineRule="exact"/>
        <w:ind w:firstLine="643" w:firstLineChars="200"/>
        <w:rPr>
          <w:rFonts w:eastAsia="方正仿宋_GBK"/>
          <w:b/>
          <w:bCs/>
          <w:color w:val="000000" w:themeColor="text1"/>
          <w:kern w:val="0"/>
          <w:sz w:val="32"/>
          <w:szCs w:val="32"/>
        </w:rPr>
      </w:pPr>
      <w:r>
        <w:rPr>
          <w:rFonts w:eastAsia="方正仿宋_GBK"/>
          <w:b/>
          <w:bCs/>
          <w:color w:val="000000" w:themeColor="text1"/>
          <w:kern w:val="0"/>
          <w:sz w:val="32"/>
          <w:szCs w:val="32"/>
        </w:rPr>
        <w:t>1</w:t>
      </w:r>
      <w:r>
        <w:rPr>
          <w:rFonts w:hint="eastAsia" w:eastAsia="方正仿宋_GBK"/>
          <w:b/>
          <w:bCs/>
          <w:color w:val="000000" w:themeColor="text1"/>
          <w:kern w:val="0"/>
          <w:sz w:val="32"/>
          <w:szCs w:val="32"/>
        </w:rPr>
        <w:t>.</w:t>
      </w:r>
      <w:r>
        <w:rPr>
          <w:rFonts w:eastAsia="方正仿宋_GBK"/>
          <w:b/>
          <w:bCs/>
          <w:color w:val="000000" w:themeColor="text1"/>
          <w:kern w:val="0"/>
          <w:sz w:val="32"/>
          <w:szCs w:val="32"/>
        </w:rPr>
        <w:t>城市道路建设规划</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根据《重庆市南川区国土空间总体规划（2020-2035 年）》（在编），重点构建高效、层级分明的城市道路网，重视对老城的交通分流，纾解关键路段交通压力，强化各组团片区间的快速联系，布局交通性主干路系统串联各功能板块、交通枢纽、高速路出入口及各条射线公路、快速路。实现各片区间多通道通行，片区内部路网呈现网格状布局，重视次支路网的系统性以及对主干路的分流，打通微循环，提高交通可达性。</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到2025年，提升并完成“两环四射五横七纵”的城区干道网格局的建设，分区域、差异化提升规划路网密度。全区计划新建（改建）城市道路约76.9公里，城市道路通车里程达到191.15公里，城市路网密度达7.83公里/平方公里。规划新建（改建）组团间通道3个，包括南川区景城乡融合发展连接道路建设工程、渝南大道延伸路（二期）项目，总投资</w:t>
      </w:r>
      <w:r>
        <w:rPr>
          <w:rFonts w:hint="eastAsia" w:eastAsia="方正仿宋_GBK"/>
          <w:bCs/>
          <w:color w:val="000000" w:themeColor="text1"/>
          <w:kern w:val="0"/>
          <w:sz w:val="32"/>
          <w:szCs w:val="32"/>
        </w:rPr>
        <w:t>14.4</w:t>
      </w:r>
      <w:r>
        <w:rPr>
          <w:rFonts w:eastAsia="方正仿宋_GBK"/>
          <w:bCs/>
          <w:color w:val="000000" w:themeColor="text1"/>
          <w:kern w:val="0"/>
          <w:sz w:val="32"/>
          <w:szCs w:val="32"/>
        </w:rPr>
        <w:t>亿元；规划新建（改建）组团内部通道6个，包括南川区柳溪路建设项目、龙济二路延伸道项目、南川区龚家塘至六角楼片区路网改造工程、南川区东街片区路网改造工程、来游路续建工程项目、南川区工业园区龙岩组团永生片区路网工程，总投资约</w:t>
      </w:r>
      <w:r>
        <w:rPr>
          <w:rFonts w:hint="eastAsia" w:eastAsia="方正仿宋_GBK"/>
          <w:bCs/>
          <w:color w:val="000000" w:themeColor="text1"/>
          <w:kern w:val="0"/>
          <w:sz w:val="32"/>
          <w:szCs w:val="32"/>
          <w:lang w:val="en-US" w:eastAsia="zh-CN"/>
        </w:rPr>
        <w:t>13</w:t>
      </w:r>
      <w:r>
        <w:rPr>
          <w:rFonts w:eastAsia="方正仿宋_GBK"/>
          <w:bCs/>
          <w:color w:val="000000" w:themeColor="text1"/>
          <w:kern w:val="0"/>
          <w:sz w:val="32"/>
          <w:szCs w:val="32"/>
        </w:rPr>
        <w:t>.</w:t>
      </w:r>
      <w:r>
        <w:rPr>
          <w:rFonts w:hint="eastAsia" w:eastAsia="方正仿宋_GBK"/>
          <w:bCs/>
          <w:color w:val="000000" w:themeColor="text1"/>
          <w:kern w:val="0"/>
          <w:sz w:val="32"/>
          <w:szCs w:val="32"/>
          <w:lang w:val="en-US" w:eastAsia="zh-CN"/>
        </w:rPr>
        <w:t>3</w:t>
      </w:r>
      <w:r>
        <w:rPr>
          <w:rFonts w:eastAsia="方正仿宋_GBK"/>
          <w:bCs/>
          <w:color w:val="000000" w:themeColor="text1"/>
          <w:kern w:val="0"/>
          <w:sz w:val="32"/>
          <w:szCs w:val="32"/>
        </w:rPr>
        <w:t>5亿元</w:t>
      </w:r>
      <w:r>
        <w:rPr>
          <w:rFonts w:hint="eastAsia" w:eastAsia="方正仿宋_GBK"/>
          <w:bCs/>
          <w:color w:val="000000" w:themeColor="text1"/>
          <w:kern w:val="0"/>
          <w:sz w:val="32"/>
          <w:szCs w:val="32"/>
        </w:rPr>
        <w:t>。</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表3-5南川区组团间通道建设规划表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017"/>
        <w:gridCol w:w="2590"/>
        <w:gridCol w:w="1428"/>
        <w:gridCol w:w="116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trPr>
        <w:tc>
          <w:tcPr>
            <w:tcW w:w="62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59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2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16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17" w:type="dxa"/>
            <w:vAlign w:val="center"/>
          </w:tcPr>
          <w:p>
            <w:pPr>
              <w:snapToGrid w:val="0"/>
              <w:spacing w:line="36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景城乡融合发展连接道路建设工程</w:t>
            </w:r>
          </w:p>
        </w:tc>
        <w:tc>
          <w:tcPr>
            <w:tcW w:w="2590" w:type="dxa"/>
            <w:vAlign w:val="center"/>
          </w:tcPr>
          <w:p>
            <w:pPr>
              <w:snapToGrid w:val="0"/>
              <w:spacing w:line="36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起于隆化大道与金山大道交叉口，止于南万高速金佛山西下匝道。全长8.5公里，宽50米</w:t>
            </w:r>
          </w:p>
        </w:tc>
        <w:tc>
          <w:tcPr>
            <w:tcW w:w="142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2019-2022</w:t>
            </w:r>
          </w:p>
        </w:tc>
        <w:tc>
          <w:tcPr>
            <w:tcW w:w="1160"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124000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01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渝南大道延伸路（二期）项目</w:t>
            </w:r>
          </w:p>
        </w:tc>
        <w:tc>
          <w:tcPr>
            <w:tcW w:w="259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 xml:space="preserve">新建道路1.5公里、宽40米 </w:t>
            </w:r>
          </w:p>
        </w:tc>
        <w:tc>
          <w:tcPr>
            <w:tcW w:w="142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2021-2023</w:t>
            </w:r>
          </w:p>
        </w:tc>
        <w:tc>
          <w:tcPr>
            <w:tcW w:w="1160"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20000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表3-6南川区组团内部通道建设规划表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5"/>
        <w:gridCol w:w="2642"/>
        <w:gridCol w:w="1362"/>
        <w:gridCol w:w="128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柳溪路建设项目</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起于花山南路，止于杨柳溪；道路长800米，宽24米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8000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龙济二路延伸道项目</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起于龙济二路与纵四路交叉口，止于隆化大道，道路长2.08公里，宽20米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10500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龚家塘至六角楼片区路网改造工程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改造及新建道路7条，共5331米，以及相关市政工程</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2021-2023</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14000</w:t>
            </w:r>
          </w:p>
        </w:tc>
        <w:tc>
          <w:tcPr>
            <w:tcW w:w="769" w:type="dxa"/>
            <w:vAlign w:val="center"/>
          </w:tcPr>
          <w:p>
            <w:pPr>
              <w:snapToGrid w:val="0"/>
              <w:spacing w:line="400" w:lineRule="exac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p>
            <w:pPr>
              <w:snapToGrid w:val="0"/>
              <w:spacing w:line="400" w:lineRule="exac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东街片区路网改造工程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新（改）建城市道路4432m，其中改建道路长2073m，新建道路长2359m，包括城北路、新兴路、花山路、莲池巷路、东环路等</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2019-2022</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19000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来游路续建工程项目</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长度约0.83公里，宽24米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2018-2021</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5000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龙岩组团南两高速下匝道拓宽工程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对现有20米下匝道拓宽至40米，长度约490米。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2023-2024</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2640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龙岩组团创新路建设工程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新建道路长约1140米，其中：南段长约405米，中段长约375米，北段长约360米。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6600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pPr>
          </w:p>
          <w:p>
            <w:pPr>
              <w:pStyle w:val="2"/>
              <w:rPr>
                <w:rFonts w:hint="eastAsia" w:eastAsia="宋体"/>
                <w:lang w:val="en-US" w:eastAsia="zh-CN"/>
              </w:rPr>
            </w:pPr>
            <w:r>
              <w:rPr>
                <w:rFonts w:hint="eastAsia"/>
                <w:lang w:val="en-US" w:eastAsia="zh-CN"/>
              </w:rPr>
              <w:t>8</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南川区工业园区龙岩组团三秀、永生片区路网工程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包括三秀路延伸长度800米，宽40米，含土石方、路基、路面、市政管网、路灯、绿化工程等，占地在面积约48亩，铁孔路长790米，宽40米；永生路长370米，宽24米，含土石方、路基、路面、市政管网、路灯、绿化工程等,占地面积约69亩</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2024-2025</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lang w:val="en-US" w:eastAsia="zh-CN"/>
              </w:rPr>
              <w:t>22</w:t>
            </w:r>
            <w:r>
              <w:rPr>
                <w:rFonts w:hint="eastAsia" w:ascii="方正黑体_GBK" w:eastAsia="方正黑体_GBK"/>
                <w:bCs/>
                <w:color w:val="000000" w:themeColor="text1"/>
                <w:kern w:val="0"/>
                <w:szCs w:val="21"/>
              </w:rPr>
              <w:t>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渝湘高速东胜互通改造工程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收费匝道数五进六出，改造园区东路700米。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2023-2024</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3400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龙岩组团路网二期工程（纵一路延伸段、横一路延伸段）</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纵一路延伸段全长796米，横一路延伸段全长369米。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11</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龙岩组团横一路站前广场段下穿改造工程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改造横一路道路约600米。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6000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12</w:t>
            </w:r>
          </w:p>
        </w:tc>
        <w:tc>
          <w:tcPr>
            <w:tcW w:w="190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高铁新城大道建设工程</w:t>
            </w:r>
          </w:p>
        </w:tc>
        <w:tc>
          <w:tcPr>
            <w:tcW w:w="26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新建道路长约2821米，宽30米。</w:t>
            </w:r>
          </w:p>
        </w:tc>
        <w:tc>
          <w:tcPr>
            <w:tcW w:w="136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2024-2025</w:t>
            </w:r>
          </w:p>
        </w:tc>
        <w:tc>
          <w:tcPr>
            <w:tcW w:w="128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10500</w:t>
            </w:r>
          </w:p>
        </w:tc>
        <w:tc>
          <w:tcPr>
            <w:tcW w:w="76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2" w:type="dxa"/>
            <w:vAlign w:val="center"/>
          </w:tcPr>
          <w:p>
            <w:pPr>
              <w:snapToGrid w:val="0"/>
              <w:spacing w:line="400" w:lineRule="exact"/>
              <w:jc w:val="center"/>
              <w:rPr>
                <w:rFonts w:hint="default" w:ascii="方正黑体_GBK" w:eastAsia="方正黑体_GBK"/>
                <w:bCs/>
                <w:color w:val="000000" w:themeColor="text1"/>
                <w:kern w:val="0"/>
                <w:szCs w:val="21"/>
                <w:lang w:val="en-US" w:eastAsia="zh-CN"/>
              </w:rPr>
            </w:pPr>
            <w:r>
              <w:rPr>
                <w:rFonts w:hint="eastAsia" w:ascii="方正黑体_GBK" w:eastAsia="方正黑体_GBK"/>
                <w:bCs/>
                <w:color w:val="000000" w:themeColor="text1"/>
                <w:kern w:val="0"/>
                <w:szCs w:val="21"/>
                <w:lang w:val="en-US" w:eastAsia="zh-CN"/>
              </w:rPr>
              <w:t>13</w:t>
            </w:r>
          </w:p>
        </w:tc>
        <w:tc>
          <w:tcPr>
            <w:tcW w:w="1905" w:type="dxa"/>
            <w:vAlign w:val="center"/>
          </w:tcPr>
          <w:p>
            <w:pPr>
              <w:snapToGrid w:val="0"/>
              <w:spacing w:line="400" w:lineRule="exact"/>
              <w:jc w:val="center"/>
              <w:rPr>
                <w:rFonts w:hint="eastAsia"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南川北站综合智能交通枢纽建设工程</w:t>
            </w:r>
          </w:p>
        </w:tc>
        <w:tc>
          <w:tcPr>
            <w:tcW w:w="2642" w:type="dxa"/>
            <w:vAlign w:val="center"/>
          </w:tcPr>
          <w:p>
            <w:pPr>
              <w:snapToGrid w:val="0"/>
              <w:spacing w:line="400" w:lineRule="exact"/>
              <w:jc w:val="center"/>
              <w:rPr>
                <w:rFonts w:hint="eastAsia"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总占地面积约150亩，总建筑面积约7万平方米。主要建设内容包括:新建站前广场、出租车停车场、公交车站，新建交通枢纽连接道路全长1400米，其中:横一路站前广场段下穿道长约600米，创新路全长约800米，配套实施综合服务用房、服务设施、地下车库、综合管网、绿化等附属工程等;</w:t>
            </w:r>
          </w:p>
        </w:tc>
        <w:tc>
          <w:tcPr>
            <w:tcW w:w="1362" w:type="dxa"/>
            <w:vAlign w:val="center"/>
          </w:tcPr>
          <w:p>
            <w:pPr>
              <w:snapToGrid w:val="0"/>
              <w:spacing w:line="400" w:lineRule="exact"/>
              <w:jc w:val="center"/>
              <w:rPr>
                <w:rFonts w:hint="default" w:ascii="方正黑体_GBK" w:eastAsia="方正黑体_GBK"/>
                <w:bCs/>
                <w:color w:val="000000" w:themeColor="text1"/>
                <w:kern w:val="0"/>
                <w:szCs w:val="21"/>
                <w:lang w:val="en-US" w:eastAsia="zh-CN"/>
              </w:rPr>
            </w:pPr>
            <w:r>
              <w:rPr>
                <w:rFonts w:hint="eastAsia" w:ascii="方正黑体_GBK" w:eastAsia="方正黑体_GBK"/>
                <w:bCs/>
                <w:color w:val="000000" w:themeColor="text1"/>
                <w:kern w:val="0"/>
                <w:szCs w:val="21"/>
                <w:lang w:val="en-US" w:eastAsia="zh-CN"/>
              </w:rPr>
              <w:t>2021-2030</w:t>
            </w:r>
          </w:p>
        </w:tc>
        <w:tc>
          <w:tcPr>
            <w:tcW w:w="1287" w:type="dxa"/>
            <w:vAlign w:val="center"/>
          </w:tcPr>
          <w:p>
            <w:pPr>
              <w:snapToGrid w:val="0"/>
              <w:spacing w:line="400" w:lineRule="exact"/>
              <w:jc w:val="center"/>
              <w:rPr>
                <w:rFonts w:hint="default" w:ascii="方正黑体_GBK" w:eastAsia="方正黑体_GBK"/>
                <w:bCs/>
                <w:color w:val="000000" w:themeColor="text1"/>
                <w:kern w:val="0"/>
                <w:szCs w:val="21"/>
                <w:lang w:val="en-US" w:eastAsia="zh-CN"/>
              </w:rPr>
            </w:pPr>
            <w:r>
              <w:rPr>
                <w:rFonts w:hint="eastAsia" w:ascii="方正黑体_GBK" w:eastAsia="方正黑体_GBK"/>
                <w:bCs/>
                <w:color w:val="000000" w:themeColor="text1"/>
                <w:kern w:val="0"/>
                <w:szCs w:val="21"/>
                <w:lang w:val="en-US" w:eastAsia="zh-CN"/>
              </w:rPr>
              <w:t>75000</w:t>
            </w:r>
          </w:p>
        </w:tc>
        <w:tc>
          <w:tcPr>
            <w:tcW w:w="769" w:type="dxa"/>
            <w:vAlign w:val="center"/>
          </w:tcPr>
          <w:p>
            <w:pPr>
              <w:snapToGrid w:val="0"/>
              <w:spacing w:line="400" w:lineRule="exact"/>
              <w:jc w:val="center"/>
              <w:rPr>
                <w:rFonts w:hint="eastAsia"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spacing w:line="400" w:lineRule="exact"/>
        <w:ind w:firstLine="560" w:firstLineChars="200"/>
        <w:jc w:val="center"/>
        <w:rPr>
          <w:rFonts w:ascii="方正黑体_GBK" w:eastAsia="方正黑体_GBK"/>
          <w:bCs/>
          <w:color w:val="000000" w:themeColor="text1"/>
          <w:kern w:val="0"/>
          <w:sz w:val="28"/>
          <w:szCs w:val="28"/>
        </w:rPr>
      </w:pPr>
    </w:p>
    <w:p>
      <w:pPr>
        <w:spacing w:line="580" w:lineRule="exact"/>
        <w:ind w:firstLine="643" w:firstLineChars="200"/>
        <w:rPr>
          <w:rFonts w:eastAsia="方正仿宋_GBK"/>
          <w:b/>
          <w:bCs/>
          <w:color w:val="000000" w:themeColor="text1"/>
          <w:kern w:val="0"/>
          <w:sz w:val="32"/>
          <w:szCs w:val="32"/>
        </w:rPr>
      </w:pPr>
      <w:r>
        <w:rPr>
          <w:rFonts w:eastAsia="方正仿宋_GBK"/>
          <w:b/>
          <w:bCs/>
          <w:color w:val="000000" w:themeColor="text1"/>
          <w:kern w:val="0"/>
          <w:sz w:val="32"/>
          <w:szCs w:val="32"/>
        </w:rPr>
        <w:t>2.慢行交通系统建设规划</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依托城市道路设置步行和自行车骨架网络，依托城市绿道和滨水空间设置步行和自行车特色网络。规划步行和自行车交通设施与各类城市公园、滨水空间、文化设施、商业设施和公共交通设施紧密结合，营造友好的步行和自行车出行体验。实施道路精细化管控，加强对街道设计流程和实施管理的引导和规范，打造独具特色的美丽街道。到2025年绿色出行比例不低于60%。</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结合上位规划，重点打造“一环三射线”的城市绿道系统，包括沿凤嘴江、半溪河和龙岩江的三条滨水绿道，并串联组团内的开敞空间和景观节点，加强环线绿道和射线绿道的联系，是市民和游客漫步、游览、骑行、健身的场所，总投资约0.24亿元。</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表3-7南川区慢行系统建设规划表</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833"/>
        <w:gridCol w:w="2411"/>
        <w:gridCol w:w="1482"/>
        <w:gridCol w:w="1388"/>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83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41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8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8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83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凤嘴江滨水绿道</w:t>
            </w:r>
          </w:p>
        </w:tc>
        <w:tc>
          <w:tcPr>
            <w:tcW w:w="241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建设复合+专用型步道6公里</w:t>
            </w:r>
          </w:p>
        </w:tc>
        <w:tc>
          <w:tcPr>
            <w:tcW w:w="1482"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2024-2025</w:t>
            </w:r>
          </w:p>
        </w:tc>
        <w:tc>
          <w:tcPr>
            <w:tcW w:w="138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1000</w:t>
            </w:r>
          </w:p>
        </w:tc>
        <w:tc>
          <w:tcPr>
            <w:tcW w:w="76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183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半溪河滨水绿道</w:t>
            </w:r>
          </w:p>
        </w:tc>
        <w:tc>
          <w:tcPr>
            <w:tcW w:w="241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建设复合+专用型步道3.5公里</w:t>
            </w:r>
          </w:p>
        </w:tc>
        <w:tc>
          <w:tcPr>
            <w:tcW w:w="1482"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2024-2025</w:t>
            </w:r>
          </w:p>
        </w:tc>
        <w:tc>
          <w:tcPr>
            <w:tcW w:w="138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595</w:t>
            </w:r>
          </w:p>
        </w:tc>
        <w:tc>
          <w:tcPr>
            <w:tcW w:w="76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183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龙岩江滨水绿道</w:t>
            </w:r>
          </w:p>
        </w:tc>
        <w:tc>
          <w:tcPr>
            <w:tcW w:w="241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建设复合+专用型步道4.5公里</w:t>
            </w:r>
          </w:p>
        </w:tc>
        <w:tc>
          <w:tcPr>
            <w:tcW w:w="1482"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2024-2025</w:t>
            </w:r>
          </w:p>
        </w:tc>
        <w:tc>
          <w:tcPr>
            <w:tcW w:w="138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765</w:t>
            </w:r>
          </w:p>
        </w:tc>
        <w:tc>
          <w:tcPr>
            <w:tcW w:w="76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spacing w:line="580" w:lineRule="exact"/>
        <w:ind w:firstLine="643" w:firstLineChars="200"/>
        <w:rPr>
          <w:rFonts w:ascii="方正仿宋_GBK" w:hAnsi="方正仿宋_GBK" w:eastAsia="方正仿宋_GBK" w:cs="方正仿宋_GBK"/>
          <w:b/>
          <w:bCs/>
          <w:color w:val="000000" w:themeColor="text1"/>
          <w:kern w:val="0"/>
          <w:sz w:val="32"/>
          <w:szCs w:val="32"/>
        </w:rPr>
      </w:pPr>
      <w:r>
        <w:rPr>
          <w:rFonts w:hint="eastAsia" w:ascii="方正仿宋_GBK" w:hAnsi="方正仿宋_GBK" w:eastAsia="方正仿宋_GBK" w:cs="方正仿宋_GBK"/>
          <w:b/>
          <w:bCs/>
          <w:color w:val="000000" w:themeColor="text1"/>
          <w:kern w:val="0"/>
          <w:sz w:val="32"/>
          <w:szCs w:val="32"/>
        </w:rPr>
        <w:t>3.人行过街设施建设规划</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加快人行过街设施的建设，结合周边人行过街需求，因地制宜在交通枢纽、学校、广场、商业等设施周边建设一批人行过街设施，改善现状人行过街环境。到2025年，南川城区在商业集聚地、学校等人流、交通密集处集中建设一批人行天桥项目（含无障碍电梯），项目总投资约0.</w:t>
      </w:r>
      <w:r>
        <w:rPr>
          <w:rFonts w:hint="eastAsia" w:eastAsia="方正仿宋_GBK"/>
          <w:bCs/>
          <w:color w:val="000000" w:themeColor="text1"/>
          <w:kern w:val="0"/>
          <w:sz w:val="32"/>
          <w:szCs w:val="32"/>
        </w:rPr>
        <w:t>44</w:t>
      </w:r>
      <w:r>
        <w:rPr>
          <w:rFonts w:eastAsia="方正仿宋_GBK"/>
          <w:bCs/>
          <w:color w:val="000000" w:themeColor="text1"/>
          <w:kern w:val="0"/>
          <w:sz w:val="32"/>
          <w:szCs w:val="32"/>
        </w:rPr>
        <w:t>亿元。</w:t>
      </w:r>
    </w:p>
    <w:p>
      <w:pPr>
        <w:pStyle w:val="2"/>
        <w:rPr>
          <w:rFonts w:eastAsia="方正仿宋_GBK"/>
          <w:bCs/>
          <w:color w:val="000000" w:themeColor="text1"/>
          <w:kern w:val="0"/>
          <w:sz w:val="32"/>
          <w:szCs w:val="32"/>
        </w:rPr>
      </w:pPr>
    </w:p>
    <w:p>
      <w:pPr>
        <w:pStyle w:val="2"/>
        <w:rPr>
          <w:rFonts w:eastAsia="方正仿宋_GBK"/>
          <w:bCs/>
          <w:color w:val="000000" w:themeColor="text1"/>
          <w:kern w:val="0"/>
          <w:sz w:val="32"/>
          <w:szCs w:val="32"/>
        </w:rPr>
      </w:pP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表3-8南川区人行过</w:t>
      </w:r>
      <w:r>
        <w:rPr>
          <w:rFonts w:hint="eastAsia" w:ascii="方正黑体_GBK" w:eastAsia="方正黑体_GBK"/>
          <w:bCs/>
          <w:color w:val="000000" w:themeColor="text1"/>
          <w:kern w:val="0"/>
          <w:sz w:val="28"/>
          <w:szCs w:val="28"/>
          <w:lang w:val="en-US" w:eastAsia="zh-CN"/>
        </w:rPr>
        <w:t>街</w:t>
      </w:r>
      <w:r>
        <w:rPr>
          <w:rFonts w:hint="eastAsia" w:ascii="方正黑体_GBK" w:eastAsia="方正黑体_GBK"/>
          <w:bCs/>
          <w:color w:val="000000" w:themeColor="text1"/>
          <w:kern w:val="0"/>
          <w:sz w:val="28"/>
          <w:szCs w:val="28"/>
        </w:rPr>
        <w:t>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010"/>
        <w:gridCol w:w="2268"/>
        <w:gridCol w:w="1494"/>
        <w:gridCol w:w="139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w:t>
            </w:r>
          </w:p>
        </w:tc>
        <w:tc>
          <w:tcPr>
            <w:tcW w:w="201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城区过街天桥(含无障碍电梯)</w:t>
            </w:r>
          </w:p>
        </w:tc>
        <w:tc>
          <w:tcPr>
            <w:tcW w:w="22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在商业集聚地、学校等人流、交通密集处规划人行天桥和地下通道</w:t>
            </w:r>
          </w:p>
        </w:tc>
        <w:tc>
          <w:tcPr>
            <w:tcW w:w="14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2022-2025</w:t>
            </w:r>
          </w:p>
        </w:tc>
        <w:tc>
          <w:tcPr>
            <w:tcW w:w="139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r>
              <w:rPr>
                <w:rFonts w:ascii="方正黑体_GBK" w:eastAsia="方正黑体_GBK"/>
                <w:bCs/>
                <w:color w:val="000000" w:themeColor="text1"/>
                <w:kern w:val="0"/>
                <w:szCs w:val="21"/>
              </w:rPr>
              <w:t>000</w:t>
            </w:r>
          </w:p>
        </w:tc>
        <w:tc>
          <w:tcPr>
            <w:tcW w:w="766"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01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金山大道4座人行天桥加装电梯</w:t>
            </w:r>
          </w:p>
        </w:tc>
        <w:tc>
          <w:tcPr>
            <w:tcW w:w="22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金山大道4座天桥加装8部垂直电梯</w:t>
            </w:r>
          </w:p>
        </w:tc>
        <w:tc>
          <w:tcPr>
            <w:tcW w:w="14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2022.12</w:t>
            </w:r>
          </w:p>
        </w:tc>
        <w:tc>
          <w:tcPr>
            <w:tcW w:w="139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400</w:t>
            </w:r>
          </w:p>
        </w:tc>
        <w:tc>
          <w:tcPr>
            <w:tcW w:w="766"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spacing w:line="580" w:lineRule="exact"/>
        <w:ind w:firstLine="643" w:firstLineChars="200"/>
        <w:rPr>
          <w:rFonts w:eastAsia="方正仿宋_GBK"/>
          <w:b/>
          <w:bCs/>
          <w:color w:val="000000" w:themeColor="text1"/>
          <w:kern w:val="0"/>
          <w:sz w:val="32"/>
          <w:szCs w:val="32"/>
        </w:rPr>
      </w:pPr>
      <w:r>
        <w:rPr>
          <w:rFonts w:eastAsia="方正仿宋_GBK"/>
          <w:b/>
          <w:bCs/>
          <w:color w:val="000000" w:themeColor="text1"/>
          <w:kern w:val="0"/>
          <w:sz w:val="32"/>
          <w:szCs w:val="32"/>
        </w:rPr>
        <w:t>4</w:t>
      </w:r>
      <w:r>
        <w:rPr>
          <w:rFonts w:hint="eastAsia" w:eastAsia="方正仿宋_GBK"/>
          <w:b/>
          <w:bCs/>
          <w:color w:val="000000" w:themeColor="text1"/>
          <w:kern w:val="0"/>
          <w:sz w:val="32"/>
          <w:szCs w:val="32"/>
        </w:rPr>
        <w:t>.</w:t>
      </w:r>
      <w:r>
        <w:rPr>
          <w:rFonts w:eastAsia="方正仿宋_GBK"/>
          <w:b/>
          <w:bCs/>
          <w:color w:val="000000" w:themeColor="text1"/>
          <w:kern w:val="0"/>
          <w:sz w:val="32"/>
          <w:szCs w:val="32"/>
        </w:rPr>
        <w:t>城市公共交通工程系统</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贯彻落实“优先发展公共交通”的相关政策，以“环加放射”状线网格局对南川区公交进行重新规划布局，环线与放射线间以换乘枢纽站进行连接，初步形成“等级清晰，功能分明”的公共交通网络体系。重点解决产业园区和“景城通”（金佛山、大观等各景点）的公共交通问题，切实解决城市拥堵和分流问题。</w:t>
      </w:r>
    </w:p>
    <w:p>
      <w:pPr>
        <w:spacing w:line="580" w:lineRule="exact"/>
        <w:ind w:firstLine="640" w:firstLineChars="200"/>
        <w:jc w:val="left"/>
        <w:rPr>
          <w:rFonts w:ascii="方正黑体_GBK" w:eastAsia="方正黑体_GBK"/>
          <w:bCs/>
          <w:color w:val="000000" w:themeColor="text1"/>
          <w:kern w:val="0"/>
          <w:sz w:val="32"/>
          <w:szCs w:val="32"/>
        </w:rPr>
      </w:pPr>
      <w:r>
        <w:rPr>
          <w:rFonts w:eastAsia="方正仿宋_GBK"/>
          <w:bCs/>
          <w:color w:val="000000" w:themeColor="text1"/>
          <w:kern w:val="0"/>
          <w:sz w:val="32"/>
          <w:szCs w:val="32"/>
        </w:rPr>
        <w:t>到2025年</w:t>
      </w:r>
      <w:r>
        <w:rPr>
          <w:rFonts w:hint="eastAsia" w:eastAsia="方正仿宋_GBK"/>
          <w:bCs/>
          <w:color w:val="000000" w:themeColor="text1"/>
          <w:kern w:val="0"/>
          <w:sz w:val="32"/>
          <w:szCs w:val="32"/>
        </w:rPr>
        <w:t>，</w:t>
      </w:r>
      <w:r>
        <w:rPr>
          <w:rFonts w:eastAsia="方正仿宋_GBK"/>
          <w:bCs/>
          <w:color w:val="000000" w:themeColor="text1"/>
          <w:kern w:val="0"/>
          <w:sz w:val="32"/>
          <w:szCs w:val="32"/>
        </w:rPr>
        <w:t>重点建设城市公共交通工程系统项目</w:t>
      </w:r>
      <w:r>
        <w:rPr>
          <w:rFonts w:hint="eastAsia" w:eastAsia="方正仿宋_GBK"/>
          <w:bCs/>
          <w:color w:val="000000" w:themeColor="text1"/>
          <w:kern w:val="0"/>
          <w:sz w:val="32"/>
          <w:szCs w:val="32"/>
        </w:rPr>
        <w:t>5</w:t>
      </w:r>
      <w:r>
        <w:rPr>
          <w:rFonts w:eastAsia="方正仿宋_GBK"/>
          <w:bCs/>
          <w:color w:val="000000" w:themeColor="text1"/>
          <w:kern w:val="0"/>
          <w:sz w:val="32"/>
          <w:szCs w:val="32"/>
        </w:rPr>
        <w:t>项，包括客运中心站公交大型枢纽站、客运西站公交大型枢纽站、长远公交维保场、永隆公交首末站、东金华公交停车场（新能源充电场）</w:t>
      </w:r>
      <w:r>
        <w:rPr>
          <w:rFonts w:hint="eastAsia" w:eastAsia="方正仿宋_GBK"/>
          <w:bCs/>
          <w:color w:val="000000" w:themeColor="text1"/>
          <w:kern w:val="0"/>
          <w:sz w:val="32"/>
          <w:szCs w:val="32"/>
        </w:rPr>
        <w:t>、金佛山北大门公交首末站、金佛山西大门公交首末站</w:t>
      </w:r>
      <w:r>
        <w:rPr>
          <w:rFonts w:eastAsia="方正仿宋_GBK"/>
          <w:bCs/>
          <w:color w:val="000000" w:themeColor="text1"/>
          <w:kern w:val="0"/>
          <w:sz w:val="32"/>
          <w:szCs w:val="32"/>
        </w:rPr>
        <w:t>等新建（改建）项目，总投资</w:t>
      </w:r>
      <w:r>
        <w:rPr>
          <w:rFonts w:hint="eastAsia" w:eastAsia="方正仿宋_GBK"/>
          <w:bCs/>
          <w:color w:val="000000" w:themeColor="text1"/>
          <w:kern w:val="0"/>
          <w:sz w:val="32"/>
          <w:szCs w:val="32"/>
        </w:rPr>
        <w:t>2</w:t>
      </w:r>
      <w:r>
        <w:rPr>
          <w:rFonts w:eastAsia="方正仿宋_GBK"/>
          <w:bCs/>
          <w:color w:val="000000" w:themeColor="text1"/>
          <w:kern w:val="0"/>
          <w:sz w:val="32"/>
          <w:szCs w:val="32"/>
        </w:rPr>
        <w:t>.927亿元。</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表3-9南川区城市公共交通工程系统建设规划表</w:t>
      </w:r>
    </w:p>
    <w:tbl>
      <w:tblPr>
        <w:tblStyle w:val="18"/>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721"/>
        <w:gridCol w:w="2542"/>
        <w:gridCol w:w="1489"/>
        <w:gridCol w:w="139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5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客运中心站公交大型枢纽站</w:t>
            </w:r>
          </w:p>
        </w:tc>
        <w:tc>
          <w:tcPr>
            <w:tcW w:w="2542" w:type="dxa"/>
            <w:vAlign w:val="center"/>
          </w:tcPr>
          <w:p>
            <w:pPr>
              <w:snapToGrid w:val="0"/>
              <w:spacing w:line="4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 xml:space="preserve">停车坪、回车道、候车区、保洁保养场、管理用房等，占地面积0.89公顷。 </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2022-2025</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10000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客运西站公交大型枢纽站</w:t>
            </w:r>
          </w:p>
        </w:tc>
        <w:tc>
          <w:tcPr>
            <w:tcW w:w="2542" w:type="dxa"/>
            <w:vAlign w:val="center"/>
          </w:tcPr>
          <w:p>
            <w:pPr>
              <w:snapToGrid w:val="0"/>
              <w:spacing w:line="4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停车坪、回车道、候车区、新能源公交（充电设施、综合服务用房)、景观绿地等，占地面积约1.19公顷</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2022-2024</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10000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东金华公交停车场（新能源充电场）</w:t>
            </w:r>
          </w:p>
        </w:tc>
        <w:tc>
          <w:tcPr>
            <w:tcW w:w="25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停车坪、回车道、新能源充电系统、变电系统、安防系统、综合管理用房等，占地面积约0.64</w:t>
            </w:r>
            <w:r>
              <w:rPr>
                <w:rFonts w:hint="eastAsia" w:ascii="宋体" w:hAnsi="宋体" w:cs="宋体"/>
                <w:bCs/>
                <w:color w:val="000000" w:themeColor="text1"/>
                <w:kern w:val="0"/>
                <w:szCs w:val="21"/>
              </w:rPr>
              <w:t>公顷</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r>
              <w:rPr>
                <w:rFonts w:ascii="方正黑体_GBK" w:eastAsia="方正黑体_GBK"/>
                <w:bCs/>
                <w:color w:val="000000" w:themeColor="text1"/>
                <w:kern w:val="0"/>
                <w:szCs w:val="21"/>
              </w:rPr>
              <w:t>000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长远公交维保场</w:t>
            </w:r>
          </w:p>
        </w:tc>
        <w:tc>
          <w:tcPr>
            <w:tcW w:w="25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停车区、维修区、仓储区、检验区、安防系统、综合用房、景观绿地等，占地面积约1.53公顷</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3000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永隆公交首末站</w:t>
            </w:r>
          </w:p>
        </w:tc>
        <w:tc>
          <w:tcPr>
            <w:tcW w:w="25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停车坪、回车道、候车区、管理用房、景观绿地，占地面积0.19公顷</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500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金佛山北大门公交首末站</w:t>
            </w:r>
          </w:p>
        </w:tc>
        <w:tc>
          <w:tcPr>
            <w:tcW w:w="25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停车坪、回车道、候车区、管理用房、景观绿地</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500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金佛山西大门公交首末站</w:t>
            </w:r>
          </w:p>
        </w:tc>
        <w:tc>
          <w:tcPr>
            <w:tcW w:w="25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停车坪、回车道、候车区、管理用房、景观绿地</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500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bookmarkStart w:id="88" w:name="_Toc90910496"/>
            <w:r>
              <w:rPr>
                <w:rFonts w:hint="eastAsia" w:ascii="方正黑体_GBK" w:eastAsia="方正黑体_GBK"/>
                <w:bCs/>
                <w:color w:val="000000" w:themeColor="text1"/>
                <w:kern w:val="0"/>
                <w:szCs w:val="21"/>
              </w:rPr>
              <w:t>8</w:t>
            </w:r>
          </w:p>
        </w:tc>
        <w:tc>
          <w:tcPr>
            <w:tcW w:w="17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hAnsi="方正黑体_GBK" w:eastAsia="方正黑体_GBK" w:cs="方正黑体_GBK"/>
                <w:bCs/>
                <w:color w:val="000000" w:themeColor="text1"/>
                <w:kern w:val="0"/>
                <w:szCs w:val="21"/>
              </w:rPr>
              <w:t>城区交通信号灯</w:t>
            </w:r>
          </w:p>
        </w:tc>
        <w:tc>
          <w:tcPr>
            <w:tcW w:w="254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hAnsi="方正黑体_GBK" w:eastAsia="方正黑体_GBK" w:cs="方正黑体_GBK"/>
                <w:bCs/>
                <w:color w:val="000000" w:themeColor="text1"/>
                <w:kern w:val="0"/>
                <w:szCs w:val="21"/>
              </w:rPr>
              <w:t>推动9组交通信号灯</w:t>
            </w:r>
            <w:r>
              <w:rPr>
                <w:rFonts w:hint="eastAsia" w:ascii="宋体" w:hAnsi="宋体" w:cs="宋体"/>
                <w:bCs/>
                <w:color w:val="000000" w:themeColor="text1"/>
                <w:kern w:val="0"/>
                <w:szCs w:val="21"/>
              </w:rPr>
              <w:t>，</w:t>
            </w:r>
            <w:r>
              <w:rPr>
                <w:bCs/>
                <w:color w:val="000000" w:themeColor="text1"/>
                <w:kern w:val="0"/>
                <w:szCs w:val="21"/>
              </w:rPr>
              <w:t>58</w:t>
            </w:r>
            <w:r>
              <w:rPr>
                <w:rFonts w:hint="eastAsia" w:ascii="宋体" w:hAnsi="宋体" w:cs="宋体"/>
                <w:bCs/>
                <w:color w:val="000000" w:themeColor="text1"/>
                <w:kern w:val="0"/>
                <w:szCs w:val="21"/>
              </w:rPr>
              <w:t>个违停球</w:t>
            </w:r>
            <w:r>
              <w:rPr>
                <w:rFonts w:hint="eastAsia" w:ascii="方正黑体_GBK" w:hAnsi="方正黑体_GBK" w:eastAsia="方正黑体_GBK" w:cs="方正黑体_GBK"/>
                <w:bCs/>
                <w:color w:val="000000" w:themeColor="text1"/>
                <w:kern w:val="0"/>
                <w:szCs w:val="21"/>
              </w:rPr>
              <w:t>建设</w:t>
            </w:r>
            <w:r>
              <w:rPr>
                <w:rFonts w:hint="eastAsia" w:ascii="宋体" w:hAnsi="宋体" w:cs="宋体"/>
                <w:bCs/>
                <w:color w:val="000000" w:themeColor="text1"/>
                <w:kern w:val="0"/>
                <w:szCs w:val="21"/>
              </w:rPr>
              <w:t>。</w:t>
            </w:r>
            <w:r>
              <w:rPr>
                <w:rFonts w:hint="eastAsia" w:ascii="方正黑体_GBK" w:hAnsi="方正黑体_GBK" w:eastAsia="方正黑体_GBK" w:cs="方正黑体_GBK"/>
                <w:bCs/>
                <w:color w:val="000000" w:themeColor="text1"/>
                <w:kern w:val="0"/>
                <w:szCs w:val="21"/>
              </w:rPr>
              <w:t>即东街片区交通组织规划5组信号灯、南园路人民医院急诊中心路段信号灯、钟楼街南大桥路段信号灯、和平路弯弯大楼路口信号灯、隆化大道道南小学路口交通信号灯等。</w:t>
            </w:r>
          </w:p>
        </w:tc>
        <w:tc>
          <w:tcPr>
            <w:tcW w:w="1489" w:type="dxa"/>
            <w:vAlign w:val="center"/>
          </w:tcPr>
          <w:p>
            <w:pPr>
              <w:autoSpaceDE w:val="0"/>
              <w:snapToGrid w:val="0"/>
              <w:spacing w:line="400" w:lineRule="exact"/>
              <w:jc w:val="center"/>
              <w:rPr>
                <w:rFonts w:ascii="方正黑体_GBK" w:eastAsia="方正黑体_GBK"/>
                <w:bCs/>
                <w:color w:val="000000" w:themeColor="text1"/>
                <w:kern w:val="0"/>
                <w:szCs w:val="21"/>
              </w:rPr>
            </w:pPr>
            <w:r>
              <w:rPr>
                <w:rFonts w:hint="eastAsia" w:ascii="方正黑体_GBK" w:hAnsi="方正黑体_GBK" w:eastAsia="方正黑体_GBK" w:cs="方正黑体_GBK"/>
                <w:bCs/>
                <w:color w:val="000000" w:themeColor="text1"/>
                <w:kern w:val="0"/>
                <w:szCs w:val="21"/>
              </w:rPr>
              <w:t>2022-2025</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r>
              <w:rPr>
                <w:rFonts w:ascii="方正黑体_GBK" w:eastAsia="方正黑体_GBK"/>
                <w:bCs/>
                <w:color w:val="000000" w:themeColor="text1"/>
                <w:kern w:val="0"/>
                <w:szCs w:val="21"/>
              </w:rPr>
              <w:t>50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w:t>
            </w:r>
          </w:p>
        </w:tc>
        <w:tc>
          <w:tcPr>
            <w:tcW w:w="1721" w:type="dxa"/>
            <w:vAlign w:val="center"/>
          </w:tcPr>
          <w:p>
            <w:pPr>
              <w:snapToGrid w:val="0"/>
              <w:spacing w:line="400" w:lineRule="exact"/>
              <w:jc w:val="center"/>
              <w:rPr>
                <w:rFonts w:ascii="方正黑体_GBK" w:hAnsi="方正黑体_GBK" w:eastAsia="方正黑体_GBK" w:cs="方正黑体_GBK"/>
                <w:bCs/>
                <w:color w:val="000000" w:themeColor="text1"/>
                <w:kern w:val="0"/>
                <w:szCs w:val="21"/>
              </w:rPr>
            </w:pPr>
            <w:r>
              <w:rPr>
                <w:rFonts w:hint="eastAsia" w:ascii="方正黑体_GBK" w:eastAsia="方正黑体_GBK"/>
                <w:bCs/>
                <w:color w:val="000000" w:themeColor="text1"/>
                <w:kern w:val="0"/>
                <w:szCs w:val="21"/>
              </w:rPr>
              <w:t>城区违停抓拍球</w:t>
            </w:r>
          </w:p>
        </w:tc>
        <w:tc>
          <w:tcPr>
            <w:tcW w:w="2542" w:type="dxa"/>
            <w:vAlign w:val="center"/>
          </w:tcPr>
          <w:p>
            <w:pPr>
              <w:snapToGrid w:val="0"/>
              <w:spacing w:line="400" w:lineRule="exact"/>
              <w:jc w:val="center"/>
              <w:rPr>
                <w:rFonts w:ascii="方正黑体_GBK" w:hAnsi="方正黑体_GBK" w:eastAsia="方正黑体_GBK" w:cs="方正黑体_GBK"/>
                <w:bCs/>
                <w:color w:val="000000" w:themeColor="text1"/>
                <w:kern w:val="0"/>
                <w:szCs w:val="21"/>
              </w:rPr>
            </w:pPr>
            <w:r>
              <w:rPr>
                <w:rFonts w:hint="eastAsia" w:ascii="方正黑体_GBK" w:hAnsi="方正黑体_GBK" w:eastAsia="方正黑体_GBK" w:cs="方正黑体_GBK"/>
                <w:bCs/>
                <w:color w:val="000000" w:themeColor="text1"/>
                <w:kern w:val="0"/>
                <w:szCs w:val="21"/>
              </w:rPr>
              <w:t>在永隆路、文体路、长远路、金佛大道、金山大道等道路增设违停抓拍球。</w:t>
            </w:r>
          </w:p>
        </w:tc>
        <w:tc>
          <w:tcPr>
            <w:tcW w:w="14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hAnsi="方正黑体_GBK" w:eastAsia="方正黑体_GBK" w:cs="方正黑体_GBK"/>
                <w:bCs/>
                <w:color w:val="000000" w:themeColor="text1"/>
                <w:kern w:val="0"/>
                <w:szCs w:val="21"/>
              </w:rPr>
              <w:t>2022-2025</w:t>
            </w:r>
          </w:p>
        </w:tc>
        <w:tc>
          <w:tcPr>
            <w:tcW w:w="139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20</w:t>
            </w:r>
          </w:p>
        </w:tc>
        <w:tc>
          <w:tcPr>
            <w:tcW w:w="76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line="580" w:lineRule="exact"/>
        <w:ind w:firstLine="640" w:firstLineChars="200"/>
        <w:rPr>
          <w:rFonts w:ascii="方正黑体_GBK" w:hAnsi="方正黑体_GBK" w:eastAsia="方正黑体_GBK" w:cs="方正黑体_GBK"/>
          <w:b w:val="0"/>
          <w:color w:val="000000" w:themeColor="text1"/>
          <w:kern w:val="0"/>
        </w:rPr>
      </w:pPr>
      <w:r>
        <w:rPr>
          <w:rFonts w:hint="eastAsia" w:ascii="方正黑体_GBK" w:hAnsi="方正黑体_GBK" w:eastAsia="方正黑体_GBK" w:cs="方正黑体_GBK"/>
          <w:b w:val="0"/>
          <w:color w:val="000000" w:themeColor="text1"/>
          <w:kern w:val="0"/>
        </w:rPr>
        <w:t>三、全面提速公共停车场建设</w:t>
      </w:r>
      <w:bookmarkEnd w:id="88"/>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按照“配建为主、公共为辅、占道停车为补充”的总体发展思路，加快推进配建停车场建设，大力发展专业公共停车场。采用地面与地下、立体相结合的方式，加大公共停车场建设力度。深入挖掘广场绿地地下、居住小区及单位自用地、零星地和边角地等空间。逐步推行停车场智能化改造，提升管理手段。到2025年，规划重点建设城市停车场项目6项，包括东街公共停车场、机械式立体停车场、北师大公共停车场、大型货运停车场</w:t>
      </w:r>
      <w:r>
        <w:rPr>
          <w:rFonts w:hint="eastAsia" w:eastAsia="方正仿宋_GBK"/>
          <w:bCs/>
          <w:color w:val="000000" w:themeColor="text1"/>
          <w:kern w:val="0"/>
          <w:sz w:val="32"/>
          <w:szCs w:val="32"/>
        </w:rPr>
        <w:t>等</w:t>
      </w:r>
      <w:r>
        <w:rPr>
          <w:rFonts w:eastAsia="方正仿宋_GBK"/>
          <w:bCs/>
          <w:color w:val="000000" w:themeColor="text1"/>
          <w:kern w:val="0"/>
          <w:sz w:val="32"/>
          <w:szCs w:val="32"/>
        </w:rPr>
        <w:t>共新增汽车停车泊位约1904个，总投资4.54亿元。</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表3-10南川区城市停车场设施建设规划表</w:t>
      </w:r>
    </w:p>
    <w:tbl>
      <w:tblPr>
        <w:tblStyle w:val="18"/>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984"/>
        <w:gridCol w:w="2239"/>
        <w:gridCol w:w="1475"/>
        <w:gridCol w:w="1381"/>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98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3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75"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8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5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98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东街公共停车场</w:t>
            </w:r>
          </w:p>
        </w:tc>
        <w:tc>
          <w:tcPr>
            <w:tcW w:w="223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规划车位190个，地面停车场</w:t>
            </w:r>
          </w:p>
        </w:tc>
        <w:tc>
          <w:tcPr>
            <w:tcW w:w="1475"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38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5700</w:t>
            </w:r>
          </w:p>
        </w:tc>
        <w:tc>
          <w:tcPr>
            <w:tcW w:w="75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198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机械式立体停车场</w:t>
            </w:r>
          </w:p>
        </w:tc>
        <w:tc>
          <w:tcPr>
            <w:tcW w:w="223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北环路原交易中心、庙堡顶小区7层，144个车位</w:t>
            </w:r>
          </w:p>
        </w:tc>
        <w:tc>
          <w:tcPr>
            <w:tcW w:w="1475"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38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2800</w:t>
            </w:r>
          </w:p>
        </w:tc>
        <w:tc>
          <w:tcPr>
            <w:tcW w:w="75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198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北师大公共停车场</w:t>
            </w:r>
          </w:p>
        </w:tc>
        <w:tc>
          <w:tcPr>
            <w:tcW w:w="223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占地面积约0.6公顷，规划车位820个，停车场</w:t>
            </w:r>
          </w:p>
        </w:tc>
        <w:tc>
          <w:tcPr>
            <w:tcW w:w="1475"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38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12000</w:t>
            </w:r>
          </w:p>
        </w:tc>
        <w:tc>
          <w:tcPr>
            <w:tcW w:w="75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198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大型货运停车场1座</w:t>
            </w:r>
          </w:p>
        </w:tc>
        <w:tc>
          <w:tcPr>
            <w:tcW w:w="223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1475"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38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5000</w:t>
            </w:r>
          </w:p>
        </w:tc>
        <w:tc>
          <w:tcPr>
            <w:tcW w:w="75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198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重庆工业职业技术学院停车场</w:t>
            </w:r>
          </w:p>
        </w:tc>
        <w:tc>
          <w:tcPr>
            <w:tcW w:w="223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占地面积约0.</w:t>
            </w:r>
            <w:r>
              <w:rPr>
                <w:rFonts w:ascii="方正黑体_GBK" w:eastAsia="方正黑体_GBK"/>
                <w:bCs/>
                <w:color w:val="000000" w:themeColor="text1"/>
                <w:kern w:val="0"/>
                <w:szCs w:val="21"/>
              </w:rPr>
              <w:t>5</w:t>
            </w:r>
            <w:r>
              <w:rPr>
                <w:rFonts w:hint="eastAsia" w:ascii="方正黑体_GBK" w:eastAsia="方正黑体_GBK"/>
                <w:bCs/>
                <w:color w:val="000000" w:themeColor="text1"/>
                <w:kern w:val="0"/>
                <w:szCs w:val="21"/>
              </w:rPr>
              <w:t>公顷，规划车位</w:t>
            </w:r>
            <w:r>
              <w:rPr>
                <w:rFonts w:ascii="方正黑体_GBK" w:eastAsia="方正黑体_GBK"/>
                <w:bCs/>
                <w:color w:val="000000" w:themeColor="text1"/>
                <w:kern w:val="0"/>
                <w:szCs w:val="21"/>
              </w:rPr>
              <w:t>750</w:t>
            </w:r>
            <w:r>
              <w:rPr>
                <w:rFonts w:hint="eastAsia" w:ascii="方正黑体_GBK" w:eastAsia="方正黑体_GBK"/>
                <w:bCs/>
                <w:color w:val="000000" w:themeColor="text1"/>
                <w:kern w:val="0"/>
                <w:szCs w:val="21"/>
              </w:rPr>
              <w:t>个，</w:t>
            </w:r>
          </w:p>
        </w:tc>
        <w:tc>
          <w:tcPr>
            <w:tcW w:w="1475"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2024-2025</w:t>
            </w:r>
          </w:p>
        </w:tc>
        <w:tc>
          <w:tcPr>
            <w:tcW w:w="138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0500</w:t>
            </w:r>
          </w:p>
        </w:tc>
        <w:tc>
          <w:tcPr>
            <w:tcW w:w="75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198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智慧停车建设项目</w:t>
            </w:r>
          </w:p>
        </w:tc>
        <w:tc>
          <w:tcPr>
            <w:tcW w:w="223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建设数字管理平台，提升停车场智能化水平</w:t>
            </w:r>
          </w:p>
        </w:tc>
        <w:tc>
          <w:tcPr>
            <w:tcW w:w="1475"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38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9400</w:t>
            </w:r>
          </w:p>
        </w:tc>
        <w:tc>
          <w:tcPr>
            <w:tcW w:w="75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widowControl/>
        <w:spacing w:before="100" w:beforeAutospacing="1" w:after="100" w:afterAutospacing="1" w:line="580" w:lineRule="exact"/>
        <w:jc w:val="center"/>
        <w:outlineLvl w:val="1"/>
        <w:rPr>
          <w:rFonts w:ascii="方正黑体_GBK" w:eastAsia="方正黑体_GBK"/>
          <w:b/>
          <w:bCs/>
          <w:color w:val="000000" w:themeColor="text1"/>
          <w:kern w:val="0"/>
          <w:sz w:val="32"/>
          <w:szCs w:val="32"/>
        </w:rPr>
      </w:pPr>
      <w:r>
        <w:fldChar w:fldCharType="begin"/>
      </w:r>
      <w:r>
        <w:instrText xml:space="preserve"> HYPERLINK \l "_Toc57993003" </w:instrText>
      </w:r>
      <w:r>
        <w:fldChar w:fldCharType="separate"/>
      </w:r>
      <w:bookmarkStart w:id="89" w:name="_Toc90910497"/>
      <w:r>
        <w:rPr>
          <w:rFonts w:hint="eastAsia" w:ascii="方正黑体_GBK" w:eastAsia="方正黑体_GBK"/>
          <w:color w:val="000000" w:themeColor="text1"/>
          <w:kern w:val="0"/>
          <w:sz w:val="32"/>
          <w:szCs w:val="32"/>
        </w:rPr>
        <w:t>第二节</w:t>
      </w:r>
      <w:r>
        <w:rPr>
          <w:rFonts w:hint="eastAsia" w:ascii="方正黑体_GBK" w:eastAsia="方正黑体_GBK"/>
          <w:color w:val="000000" w:themeColor="text1"/>
          <w:kern w:val="0"/>
          <w:sz w:val="32"/>
          <w:szCs w:val="32"/>
        </w:rPr>
        <w:fldChar w:fldCharType="end"/>
      </w:r>
      <w:r>
        <w:rPr>
          <w:rFonts w:hint="eastAsia"/>
          <w:color w:val="000000" w:themeColor="text1"/>
        </w:rPr>
        <w:t xml:space="preserve"> </w:t>
      </w:r>
      <w:r>
        <w:fldChar w:fldCharType="begin"/>
      </w:r>
      <w:r>
        <w:instrText xml:space="preserve"> HYPERLINK \l "_Toc57993007" </w:instrText>
      </w:r>
      <w:r>
        <w:fldChar w:fldCharType="separate"/>
      </w:r>
      <w:r>
        <w:rPr>
          <w:rFonts w:hint="eastAsia" w:ascii="方正黑体_GBK" w:eastAsia="方正黑体_GBK"/>
          <w:color w:val="000000" w:themeColor="text1"/>
          <w:kern w:val="0"/>
          <w:sz w:val="32"/>
          <w:szCs w:val="32"/>
        </w:rPr>
        <w:t>健全均衡高效的能源保障体系</w:t>
      </w:r>
      <w:bookmarkEnd w:id="89"/>
      <w:r>
        <w:rPr>
          <w:rFonts w:hint="eastAsia" w:ascii="方正黑体_GBK" w:eastAsia="方正黑体_GBK"/>
          <w:color w:val="000000" w:themeColor="text1"/>
          <w:kern w:val="0"/>
          <w:sz w:val="32"/>
          <w:szCs w:val="32"/>
        </w:rPr>
        <w:fldChar w:fldCharType="end"/>
      </w:r>
    </w:p>
    <w:p>
      <w:pPr>
        <w:pStyle w:val="5"/>
        <w:spacing w:line="580" w:lineRule="exact"/>
        <w:ind w:firstLine="643" w:firstLineChars="200"/>
        <w:rPr>
          <w:rFonts w:ascii="方正黑体_GBK" w:hAnsi="方正黑体_GBK" w:eastAsia="方正黑体_GBK" w:cs="方正黑体_GBK"/>
          <w:b w:val="0"/>
          <w:bCs w:val="0"/>
          <w:color w:val="000000" w:themeColor="text1"/>
          <w:kern w:val="0"/>
        </w:rPr>
      </w:pPr>
      <w:r>
        <w:fldChar w:fldCharType="begin"/>
      </w:r>
      <w:r>
        <w:instrText xml:space="preserve"> HYPERLINK \l "_Toc57993008" </w:instrText>
      </w:r>
      <w:r>
        <w:fldChar w:fldCharType="separate"/>
      </w:r>
      <w:bookmarkStart w:id="90" w:name="_Toc90910498"/>
      <w:r>
        <w:rPr>
          <w:rFonts w:hint="eastAsia" w:ascii="方正黑体_GBK" w:hAnsi="方正黑体_GBK" w:eastAsia="方正黑体_GBK" w:cs="方正黑体_GBK"/>
          <w:b w:val="0"/>
          <w:bCs w:val="0"/>
          <w:color w:val="000000" w:themeColor="text1"/>
          <w:kern w:val="0"/>
        </w:rPr>
        <w:t>一、</w:t>
      </w:r>
      <w:r>
        <w:rPr>
          <w:rFonts w:hint="eastAsia" w:ascii="方正黑体_GBK" w:hAnsi="方正黑体_GBK" w:eastAsia="方正黑体_GBK" w:cs="方正黑体_GBK"/>
          <w:b w:val="0"/>
          <w:bCs w:val="0"/>
          <w:color w:val="000000" w:themeColor="text1"/>
          <w:kern w:val="0"/>
        </w:rPr>
        <w:fldChar w:fldCharType="end"/>
      </w:r>
      <w:r>
        <w:rPr>
          <w:rFonts w:hint="eastAsia" w:ascii="方正黑体_GBK" w:hAnsi="方正黑体_GBK" w:eastAsia="方正黑体_GBK" w:cs="方正黑体_GBK"/>
          <w:b w:val="0"/>
          <w:bCs w:val="0"/>
          <w:color w:val="000000" w:themeColor="text1"/>
          <w:kern w:val="0"/>
        </w:rPr>
        <w:t>完善电力运行基础设施体系</w:t>
      </w:r>
      <w:bookmarkEnd w:id="90"/>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围绕中心城区重点项目建设，按照“超前规划、适时建设”的方针，优化能源供给格局，建设安全可靠、分层分区、结构合理、发展适应性好的电网构架，建立高效安全的电力输配体系。</w:t>
      </w:r>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进一步加强城市电网设施建设，合理布局电网通道，新建输变电站和输电线路，在满足地区负荷增长的同时，优化网架结构，提高供电能力和供电可靠性，实现各电压等级协调发展，最终形成结构坚强、运行灵活、适应性强的电力网架体系。</w:t>
      </w:r>
      <w:r>
        <w:rPr>
          <w:rFonts w:eastAsia="方正仿宋_GBK"/>
          <w:bCs/>
          <w:color w:val="000000" w:themeColor="text1"/>
          <w:kern w:val="0"/>
          <w:sz w:val="32"/>
          <w:szCs w:val="32"/>
        </w:rPr>
        <w:t>到2025年，</w:t>
      </w:r>
      <w:r>
        <w:rPr>
          <w:rFonts w:eastAsia="方正仿宋_GBK"/>
          <w:color w:val="000000" w:themeColor="text1"/>
          <w:kern w:val="0"/>
          <w:sz w:val="32"/>
          <w:szCs w:val="32"/>
        </w:rPr>
        <w:t>规划建设电力设施项目共2</w:t>
      </w:r>
      <w:r>
        <w:rPr>
          <w:rFonts w:hint="eastAsia" w:eastAsia="方正仿宋_GBK"/>
          <w:color w:val="000000" w:themeColor="text1"/>
          <w:kern w:val="0"/>
          <w:sz w:val="32"/>
          <w:szCs w:val="32"/>
        </w:rPr>
        <w:t>6</w:t>
      </w:r>
      <w:r>
        <w:rPr>
          <w:rFonts w:eastAsia="方正仿宋_GBK"/>
          <w:color w:val="000000" w:themeColor="text1"/>
          <w:kern w:val="0"/>
          <w:sz w:val="32"/>
          <w:szCs w:val="32"/>
        </w:rPr>
        <w:t>项，包括输变电工程12项，电力管网工程1</w:t>
      </w:r>
      <w:r>
        <w:rPr>
          <w:rFonts w:hint="eastAsia" w:eastAsia="方正仿宋_GBK"/>
          <w:color w:val="000000" w:themeColor="text1"/>
          <w:kern w:val="0"/>
          <w:sz w:val="32"/>
          <w:szCs w:val="32"/>
        </w:rPr>
        <w:t>4</w:t>
      </w:r>
      <w:r>
        <w:rPr>
          <w:rFonts w:eastAsia="方正仿宋_GBK"/>
          <w:color w:val="000000" w:themeColor="text1"/>
          <w:kern w:val="0"/>
          <w:sz w:val="32"/>
          <w:szCs w:val="32"/>
        </w:rPr>
        <w:t>项目。项目总投资4.</w:t>
      </w:r>
      <w:r>
        <w:rPr>
          <w:rFonts w:hint="eastAsia" w:eastAsia="方正仿宋_GBK"/>
          <w:color w:val="000000" w:themeColor="text1"/>
          <w:kern w:val="0"/>
          <w:sz w:val="32"/>
          <w:szCs w:val="32"/>
        </w:rPr>
        <w:t>22</w:t>
      </w:r>
      <w:r>
        <w:rPr>
          <w:rFonts w:eastAsia="方正仿宋_GBK"/>
          <w:color w:val="000000" w:themeColor="text1"/>
          <w:kern w:val="0"/>
          <w:sz w:val="32"/>
          <w:szCs w:val="32"/>
        </w:rPr>
        <w:t>亿元。</w:t>
      </w:r>
    </w:p>
    <w:p>
      <w:pPr>
        <w:spacing w:line="580" w:lineRule="exact"/>
        <w:jc w:val="center"/>
        <w:rPr>
          <w:rFonts w:ascii="方正黑体_GBK" w:eastAsia="方正黑体_GBK"/>
          <w:color w:val="000000" w:themeColor="text1"/>
          <w:kern w:val="0"/>
          <w:sz w:val="32"/>
          <w:szCs w:val="32"/>
        </w:rPr>
      </w:pPr>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1</w:t>
      </w:r>
      <w:r>
        <w:rPr>
          <w:rFonts w:hint="eastAsia" w:ascii="方正黑体_GBK" w:eastAsia="方正黑体_GBK"/>
          <w:bCs/>
          <w:color w:val="000000" w:themeColor="text1"/>
          <w:kern w:val="0"/>
          <w:sz w:val="28"/>
          <w:szCs w:val="28"/>
        </w:rPr>
        <w:t>1南川区电力设施建设规划表</w:t>
      </w:r>
    </w:p>
    <w:tbl>
      <w:tblPr>
        <w:tblStyle w:val="1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243"/>
        <w:gridCol w:w="2314"/>
        <w:gridCol w:w="1500"/>
        <w:gridCol w:w="114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24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重庆南川城郊110kV变电站2号主变改造工程</w:t>
            </w:r>
          </w:p>
        </w:tc>
        <w:tc>
          <w:tcPr>
            <w:tcW w:w="2314" w:type="dxa"/>
            <w:vAlign w:val="center"/>
          </w:tcPr>
          <w:p>
            <w:pPr>
              <w:widowControl/>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主变增容18.5MVA</w:t>
            </w:r>
          </w:p>
        </w:tc>
        <w:tc>
          <w:tcPr>
            <w:tcW w:w="1500" w:type="dxa"/>
            <w:vAlign w:val="center"/>
          </w:tcPr>
          <w:p>
            <w:pPr>
              <w:widowControl/>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2021~2022</w:t>
            </w:r>
          </w:p>
        </w:tc>
        <w:tc>
          <w:tcPr>
            <w:tcW w:w="1140" w:type="dxa"/>
            <w:vAlign w:val="center"/>
          </w:tcPr>
          <w:p>
            <w:pPr>
              <w:widowControl/>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530</w:t>
            </w:r>
          </w:p>
        </w:tc>
        <w:tc>
          <w:tcPr>
            <w:tcW w:w="766" w:type="dxa"/>
            <w:vAlign w:val="center"/>
          </w:tcPr>
          <w:p>
            <w:pPr>
              <w:widowControl/>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重庆南川姚家坝110kV输变电工程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新增主变100MVA，新建线路15km</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2021~2023</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1510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重庆南川松林～石篆110kV线路工程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新建线路9km</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2022~2023</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1120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重庆南川鱼跳～松林π入宏墙变电站110kV线路工程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新建线路4km</w:t>
            </w:r>
          </w:p>
        </w:tc>
        <w:tc>
          <w:tcPr>
            <w:tcW w:w="1500" w:type="dxa"/>
            <w:vAlign w:val="center"/>
          </w:tcPr>
          <w:p>
            <w:pPr>
              <w:spacing w:line="440" w:lineRule="exact"/>
              <w:jc w:val="center"/>
              <w:rPr>
                <w:rFonts w:ascii="方正黑体_GBK" w:eastAsia="方正黑体_GBK"/>
                <w:color w:val="000000" w:themeColor="text1"/>
                <w:szCs w:val="21"/>
              </w:rPr>
            </w:pPr>
            <w:r>
              <w:rPr>
                <w:rFonts w:ascii="方正黑体_GBK" w:eastAsia="方正黑体_GBK"/>
                <w:color w:val="000000" w:themeColor="text1"/>
                <w:szCs w:val="21"/>
              </w:rPr>
              <w:t>2025</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960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重庆南川姚家坝110kV变电站35kV送出工程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新建线路42km</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2022~2023</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4293</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重庆南川南城220kV变电站110kV送出工程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新建线路8km</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2024~2025</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640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重庆南川凤凰寺～南平35kV线路改造工程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改造线路27km</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2024~2025</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1350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重庆南川花山110kV输变电工程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新增主变100MVA，新建线路12km</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2024~2025</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5600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重庆南川鸣玉35kV变电站改造工程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主变增容8.7MVA</w:t>
            </w:r>
          </w:p>
        </w:tc>
        <w:tc>
          <w:tcPr>
            <w:tcW w:w="1500" w:type="dxa"/>
            <w:vAlign w:val="center"/>
          </w:tcPr>
          <w:p>
            <w:pPr>
              <w:spacing w:line="440" w:lineRule="exact"/>
              <w:jc w:val="center"/>
              <w:rPr>
                <w:rFonts w:ascii="方正黑体_GBK" w:eastAsia="方正黑体_GBK"/>
                <w:color w:val="000000" w:themeColor="text1"/>
                <w:szCs w:val="21"/>
              </w:rPr>
            </w:pPr>
            <w:r>
              <w:rPr>
                <w:rFonts w:ascii="方正黑体_GBK" w:eastAsia="方正黑体_GBK"/>
                <w:color w:val="000000" w:themeColor="text1"/>
                <w:szCs w:val="21"/>
              </w:rPr>
              <w:t>2021</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500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0</w:t>
            </w:r>
          </w:p>
        </w:tc>
        <w:tc>
          <w:tcPr>
            <w:tcW w:w="2243" w:type="dxa"/>
            <w:vAlign w:val="center"/>
          </w:tcPr>
          <w:p>
            <w:pPr>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重庆南川花山110kV变电站35kV送出工程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新建线路5km</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2024~2025</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250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1</w:t>
            </w:r>
          </w:p>
        </w:tc>
        <w:tc>
          <w:tcPr>
            <w:tcW w:w="2243" w:type="dxa"/>
            <w:vAlign w:val="center"/>
          </w:tcPr>
          <w:p>
            <w:pPr>
              <w:widowControl/>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重庆南川南城220kV输变电工程</w:t>
            </w:r>
          </w:p>
        </w:tc>
        <w:tc>
          <w:tcPr>
            <w:tcW w:w="2314"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新增主变36MVA</w:t>
            </w:r>
          </w:p>
        </w:tc>
        <w:tc>
          <w:tcPr>
            <w:tcW w:w="150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2022~2024</w:t>
            </w:r>
          </w:p>
        </w:tc>
        <w:tc>
          <w:tcPr>
            <w:tcW w:w="1140"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22000</w:t>
            </w:r>
          </w:p>
        </w:tc>
        <w:tc>
          <w:tcPr>
            <w:tcW w:w="766" w:type="dxa"/>
            <w:vAlign w:val="center"/>
          </w:tcPr>
          <w:p>
            <w:pPr>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2</w:t>
            </w:r>
          </w:p>
        </w:tc>
        <w:tc>
          <w:tcPr>
            <w:tcW w:w="2243" w:type="dxa"/>
            <w:vAlign w:val="center"/>
          </w:tcPr>
          <w:p>
            <w:pPr>
              <w:widowControl/>
              <w:spacing w:line="440" w:lineRule="exact"/>
              <w:jc w:val="left"/>
              <w:rPr>
                <w:rFonts w:ascii="方正黑体_GBK" w:eastAsia="方正黑体_GBK"/>
                <w:color w:val="000000" w:themeColor="text1"/>
                <w:szCs w:val="21"/>
              </w:rPr>
            </w:pPr>
            <w:r>
              <w:rPr>
                <w:rFonts w:hint="eastAsia" w:ascii="方正黑体_GBK" w:eastAsia="方正黑体_GBK"/>
                <w:color w:val="000000" w:themeColor="text1"/>
                <w:szCs w:val="21"/>
              </w:rPr>
              <w:t>南川110KV陈家场变电站增容改造工程</w:t>
            </w:r>
          </w:p>
        </w:tc>
        <w:tc>
          <w:tcPr>
            <w:tcW w:w="2314" w:type="dxa"/>
            <w:vAlign w:val="center"/>
          </w:tcPr>
          <w:p>
            <w:pPr>
              <w:widowControl/>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主变增容50MVA</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1030</w:t>
            </w:r>
          </w:p>
        </w:tc>
        <w:tc>
          <w:tcPr>
            <w:tcW w:w="766" w:type="dxa"/>
            <w:vAlign w:val="center"/>
          </w:tcPr>
          <w:p>
            <w:pPr>
              <w:widowControl/>
              <w:spacing w:line="440" w:lineRule="exact"/>
              <w:jc w:val="center"/>
              <w:rPr>
                <w:rFonts w:ascii="方正黑体_GBK" w:eastAsia="方正黑体_GBK"/>
                <w:color w:val="000000" w:themeColor="text1"/>
                <w:szCs w:val="21"/>
              </w:rPr>
            </w:pPr>
            <w:r>
              <w:rPr>
                <w:rFonts w:hint="eastAsia" w:ascii="方正黑体_GBK" w:eastAsia="方正黑体_GBK"/>
                <w:color w:val="000000" w:themeColor="text1"/>
                <w:szCs w:val="21"/>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3</w:t>
            </w:r>
          </w:p>
        </w:tc>
        <w:tc>
          <w:tcPr>
            <w:tcW w:w="2243" w:type="dxa"/>
            <w:vAlign w:val="center"/>
          </w:tcPr>
          <w:p>
            <w:pPr>
              <w:widowControl/>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南川景城乡融合发展连接道路电力管网工程</w:t>
            </w:r>
          </w:p>
        </w:tc>
        <w:tc>
          <w:tcPr>
            <w:tcW w:w="2314"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新建10KV电力管网约8.5公里，规模为2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2023~2024</w:t>
            </w:r>
          </w:p>
        </w:tc>
        <w:tc>
          <w:tcPr>
            <w:tcW w:w="1140"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578</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4</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渝南大道延伸路（二期）电力管网工程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新建10KV电力管网约1.5公里，规模为2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2023~2024</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102</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6</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柳溪路电力管网工程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新建10KV电力管网约0.8公里，规模为2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2023~2024</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55</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7</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龙济二路延伸道电力管网工程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新建10KV电力管网约2公里，规模为2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2024~2025</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136</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8</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龚家塘至六角楼片区电力网管工程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新建10KV电力管网约5公里，规模为2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340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9</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东街片区电力管网工程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新建10KV电力管网约4公里，规模为2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2022~2023</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283</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来游路电力管网工程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新建10KV电力管网约0.8公里，规模为16回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2021-2022</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1</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南川区工业园区龙岩组团永生片区路电力管网工程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w:t>
            </w:r>
            <w:r>
              <w:rPr>
                <w:rFonts w:ascii="方正黑体_GBK" w:eastAsia="方正黑体_GBK"/>
                <w:bCs/>
                <w:color w:val="000000" w:themeColor="text1"/>
                <w:kern w:val="0"/>
                <w:szCs w:val="21"/>
              </w:rPr>
              <w:t>0KV</w:t>
            </w:r>
            <w:r>
              <w:rPr>
                <w:rFonts w:hint="eastAsia" w:ascii="方正黑体_GBK" w:eastAsia="方正黑体_GBK"/>
                <w:bCs/>
                <w:color w:val="000000" w:themeColor="text1"/>
                <w:kern w:val="0"/>
                <w:szCs w:val="21"/>
              </w:rPr>
              <w:t>电力管网0</w:t>
            </w:r>
            <w:r>
              <w:rPr>
                <w:rFonts w:ascii="方正黑体_GBK" w:eastAsia="方正黑体_GBK"/>
                <w:bCs/>
                <w:color w:val="000000" w:themeColor="text1"/>
                <w:kern w:val="0"/>
                <w:szCs w:val="21"/>
              </w:rPr>
              <w:t>.37</w:t>
            </w:r>
            <w:r>
              <w:rPr>
                <w:rFonts w:hint="eastAsia" w:ascii="方正黑体_GBK" w:eastAsia="方正黑体_GBK"/>
                <w:bCs/>
                <w:color w:val="000000" w:themeColor="text1"/>
                <w:kern w:val="0"/>
                <w:szCs w:val="21"/>
              </w:rPr>
              <w:t>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8</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2</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工业大道（东胜高速出口—北固高速路口—污水处理厂）、南大街延伸路、南大街（西街口—中心车站后大门）电力管网工程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w:t>
            </w:r>
            <w:r>
              <w:rPr>
                <w:rFonts w:ascii="方正黑体_GBK" w:eastAsia="方正黑体_GBK"/>
                <w:bCs/>
                <w:color w:val="000000" w:themeColor="text1"/>
                <w:kern w:val="0"/>
                <w:szCs w:val="21"/>
              </w:rPr>
              <w:t>0KV</w:t>
            </w:r>
            <w:r>
              <w:rPr>
                <w:rFonts w:hint="eastAsia" w:ascii="方正黑体_GBK" w:eastAsia="方正黑体_GBK"/>
                <w:bCs/>
                <w:color w:val="000000" w:themeColor="text1"/>
                <w:kern w:val="0"/>
                <w:szCs w:val="21"/>
              </w:rPr>
              <w:t>电力管网</w:t>
            </w:r>
            <w:r>
              <w:rPr>
                <w:rFonts w:ascii="方正黑体_GBK" w:eastAsia="方正黑体_GBK"/>
                <w:bCs/>
                <w:color w:val="000000" w:themeColor="text1"/>
                <w:kern w:val="0"/>
                <w:szCs w:val="21"/>
              </w:rPr>
              <w:t>6</w:t>
            </w:r>
            <w:r>
              <w:rPr>
                <w:rFonts w:hint="eastAsia" w:ascii="方正黑体_GBK" w:eastAsia="方正黑体_GBK"/>
                <w:bCs/>
                <w:color w:val="000000" w:themeColor="text1"/>
                <w:kern w:val="0"/>
                <w:szCs w:val="21"/>
              </w:rPr>
              <w:t>公里，规模为2</w:t>
            </w:r>
            <w:r>
              <w:rPr>
                <w:rFonts w:ascii="方正黑体_GBK" w:eastAsia="方正黑体_GBK"/>
                <w:bCs/>
                <w:color w:val="000000" w:themeColor="text1"/>
                <w:kern w:val="0"/>
                <w:szCs w:val="21"/>
              </w:rPr>
              <w:t>4</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r>
              <w:rPr>
                <w:rFonts w:ascii="方正黑体_GBK" w:eastAsia="方正黑体_GBK"/>
                <w:bCs/>
                <w:color w:val="000000" w:themeColor="text1"/>
                <w:kern w:val="0"/>
                <w:szCs w:val="21"/>
              </w:rPr>
              <w:t>08</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3</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南园路延伸路电力管网工程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w:t>
            </w:r>
            <w:r>
              <w:rPr>
                <w:rFonts w:ascii="方正黑体_GBK" w:eastAsia="方正黑体_GBK"/>
                <w:bCs/>
                <w:color w:val="000000" w:themeColor="text1"/>
                <w:kern w:val="0"/>
                <w:szCs w:val="21"/>
              </w:rPr>
              <w:t>0KV</w:t>
            </w:r>
            <w:r>
              <w:rPr>
                <w:rFonts w:hint="eastAsia" w:ascii="方正黑体_GBK" w:eastAsia="方正黑体_GBK"/>
                <w:bCs/>
                <w:color w:val="000000" w:themeColor="text1"/>
                <w:kern w:val="0"/>
                <w:szCs w:val="21"/>
              </w:rPr>
              <w:t>电力管网0</w:t>
            </w:r>
            <w:r>
              <w:rPr>
                <w:rFonts w:ascii="方正黑体_GBK" w:eastAsia="方正黑体_GBK"/>
                <w:bCs/>
                <w:color w:val="000000" w:themeColor="text1"/>
                <w:kern w:val="0"/>
                <w:szCs w:val="21"/>
              </w:rPr>
              <w:t>.7</w:t>
            </w:r>
            <w:r>
              <w:rPr>
                <w:rFonts w:hint="eastAsia" w:ascii="方正黑体_GBK" w:eastAsia="方正黑体_GBK"/>
                <w:bCs/>
                <w:color w:val="000000" w:themeColor="text1"/>
                <w:kern w:val="0"/>
                <w:szCs w:val="21"/>
              </w:rPr>
              <w:t>公里，规模为1</w:t>
            </w:r>
            <w:r>
              <w:rPr>
                <w:rFonts w:ascii="方正黑体_GBK" w:eastAsia="方正黑体_GBK"/>
                <w:bCs/>
                <w:color w:val="000000" w:themeColor="text1"/>
                <w:kern w:val="0"/>
                <w:szCs w:val="21"/>
              </w:rPr>
              <w:t>6</w:t>
            </w:r>
            <w:r>
              <w:rPr>
                <w:rFonts w:hint="eastAsia" w:ascii="方正黑体_GBK" w:eastAsia="方正黑体_GBK"/>
                <w:bCs/>
                <w:color w:val="000000" w:themeColor="text1"/>
                <w:kern w:val="0"/>
                <w:szCs w:val="21"/>
              </w:rPr>
              <w:t>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r>
              <w:rPr>
                <w:rFonts w:ascii="方正黑体_GBK" w:eastAsia="方正黑体_GBK"/>
                <w:bCs/>
                <w:color w:val="000000" w:themeColor="text1"/>
                <w:kern w:val="0"/>
                <w:szCs w:val="21"/>
              </w:rPr>
              <w:t>8</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24</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银河大道电力管网工程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w:t>
            </w:r>
            <w:r>
              <w:rPr>
                <w:rFonts w:ascii="方正黑体_GBK" w:eastAsia="方正黑体_GBK"/>
                <w:bCs/>
                <w:color w:val="000000" w:themeColor="text1"/>
                <w:kern w:val="0"/>
                <w:szCs w:val="21"/>
              </w:rPr>
              <w:t>0KV</w:t>
            </w:r>
            <w:r>
              <w:rPr>
                <w:rFonts w:hint="eastAsia" w:ascii="方正黑体_GBK" w:eastAsia="方正黑体_GBK"/>
                <w:bCs/>
                <w:color w:val="000000" w:themeColor="text1"/>
                <w:kern w:val="0"/>
                <w:szCs w:val="21"/>
              </w:rPr>
              <w:t>电力管网2</w:t>
            </w:r>
            <w:r>
              <w:rPr>
                <w:rFonts w:ascii="方正黑体_GBK" w:eastAsia="方正黑体_GBK"/>
                <w:bCs/>
                <w:color w:val="000000" w:themeColor="text1"/>
                <w:kern w:val="0"/>
                <w:szCs w:val="21"/>
              </w:rPr>
              <w:t>.</w:t>
            </w:r>
            <w:r>
              <w:rPr>
                <w:rFonts w:hint="eastAsia" w:ascii="方正黑体_GBK" w:eastAsia="方正黑体_GBK"/>
                <w:bCs/>
                <w:color w:val="000000" w:themeColor="text1"/>
                <w:kern w:val="0"/>
                <w:szCs w:val="21"/>
              </w:rPr>
              <w:t>9公里，花山中路交叉口北侧段规模为1</w:t>
            </w:r>
            <w:r>
              <w:rPr>
                <w:rFonts w:ascii="方正黑体_GBK" w:eastAsia="方正黑体_GBK"/>
                <w:bCs/>
                <w:color w:val="000000" w:themeColor="text1"/>
                <w:kern w:val="0"/>
                <w:szCs w:val="21"/>
              </w:rPr>
              <w:t>6</w:t>
            </w:r>
            <w:r>
              <w:rPr>
                <w:rFonts w:hint="eastAsia" w:ascii="方正黑体_GBK" w:eastAsia="方正黑体_GBK"/>
                <w:bCs/>
                <w:color w:val="000000" w:themeColor="text1"/>
                <w:kern w:val="0"/>
                <w:szCs w:val="21"/>
              </w:rPr>
              <w:t>回，南侧段为24回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197</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25</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花山南路东段电力管网工程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w:t>
            </w:r>
            <w:r>
              <w:rPr>
                <w:rFonts w:ascii="方正黑体_GBK" w:eastAsia="方正黑体_GBK"/>
                <w:bCs/>
                <w:color w:val="000000" w:themeColor="text1"/>
                <w:kern w:val="0"/>
                <w:szCs w:val="21"/>
              </w:rPr>
              <w:t>0KV</w:t>
            </w:r>
            <w:r>
              <w:rPr>
                <w:rFonts w:hint="eastAsia" w:ascii="方正黑体_GBK" w:eastAsia="方正黑体_GBK"/>
                <w:bCs/>
                <w:color w:val="000000" w:themeColor="text1"/>
                <w:kern w:val="0"/>
                <w:szCs w:val="21"/>
              </w:rPr>
              <w:t>电力管网0</w:t>
            </w:r>
            <w:r>
              <w:rPr>
                <w:rFonts w:ascii="方正黑体_GBK" w:eastAsia="方正黑体_GBK"/>
                <w:bCs/>
                <w:color w:val="000000" w:themeColor="text1"/>
                <w:kern w:val="0"/>
                <w:szCs w:val="21"/>
              </w:rPr>
              <w:t>.</w:t>
            </w:r>
            <w:r>
              <w:rPr>
                <w:rFonts w:hint="eastAsia" w:ascii="方正黑体_GBK" w:eastAsia="方正黑体_GBK"/>
                <w:bCs/>
                <w:color w:val="000000" w:themeColor="text1"/>
                <w:kern w:val="0"/>
                <w:szCs w:val="21"/>
              </w:rPr>
              <w:t xml:space="preserve">9公里，规模为24回 </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62</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26</w:t>
            </w:r>
          </w:p>
        </w:tc>
        <w:tc>
          <w:tcPr>
            <w:tcW w:w="2243" w:type="dxa"/>
            <w:vAlign w:val="center"/>
          </w:tcPr>
          <w:p>
            <w:pPr>
              <w:snapToGrid w:val="0"/>
              <w:spacing w:line="44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Z006电力管网工程</w:t>
            </w:r>
          </w:p>
        </w:tc>
        <w:tc>
          <w:tcPr>
            <w:tcW w:w="231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新建1</w:t>
            </w:r>
            <w:r>
              <w:rPr>
                <w:rFonts w:ascii="方正黑体_GBK" w:eastAsia="方正黑体_GBK"/>
                <w:bCs/>
                <w:color w:val="000000" w:themeColor="text1"/>
                <w:kern w:val="0"/>
                <w:szCs w:val="21"/>
              </w:rPr>
              <w:t>0KV</w:t>
            </w:r>
            <w:r>
              <w:rPr>
                <w:rFonts w:hint="eastAsia" w:ascii="方正黑体_GBK" w:eastAsia="方正黑体_GBK"/>
                <w:bCs/>
                <w:color w:val="000000" w:themeColor="text1"/>
                <w:kern w:val="0"/>
                <w:szCs w:val="21"/>
              </w:rPr>
              <w:t>电力管网1</w:t>
            </w:r>
            <w:r>
              <w:rPr>
                <w:rFonts w:ascii="方正黑体_GBK" w:eastAsia="方正黑体_GBK"/>
                <w:bCs/>
                <w:color w:val="000000" w:themeColor="text1"/>
                <w:kern w:val="0"/>
                <w:szCs w:val="21"/>
              </w:rPr>
              <w:t>.</w:t>
            </w:r>
            <w:r>
              <w:rPr>
                <w:rFonts w:hint="eastAsia" w:ascii="方正黑体_GBK" w:eastAsia="方正黑体_GBK"/>
                <w:bCs/>
                <w:color w:val="000000" w:themeColor="text1"/>
                <w:kern w:val="0"/>
                <w:szCs w:val="21"/>
              </w:rPr>
              <w:t>4公里，规模为36回</w:t>
            </w:r>
          </w:p>
        </w:tc>
        <w:tc>
          <w:tcPr>
            <w:tcW w:w="150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14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95</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line="580" w:lineRule="exact"/>
        <w:ind w:firstLine="643" w:firstLineChars="200"/>
        <w:rPr>
          <w:rFonts w:ascii="方正黑体_GBK" w:eastAsia="方正黑体_GBK"/>
          <w:b w:val="0"/>
          <w:bCs w:val="0"/>
          <w:color w:val="000000" w:themeColor="text1"/>
          <w:kern w:val="0"/>
        </w:rPr>
      </w:pPr>
      <w:r>
        <w:fldChar w:fldCharType="begin"/>
      </w:r>
      <w:r>
        <w:instrText xml:space="preserve"> HYPERLINK \l "_Toc57993009" </w:instrText>
      </w:r>
      <w:r>
        <w:fldChar w:fldCharType="separate"/>
      </w:r>
      <w:bookmarkStart w:id="91" w:name="_Toc90910499"/>
      <w:r>
        <w:rPr>
          <w:rFonts w:hint="eastAsia" w:ascii="方正黑体_GBK" w:eastAsia="方正黑体_GBK"/>
          <w:b w:val="0"/>
          <w:bCs w:val="0"/>
          <w:color w:val="000000" w:themeColor="text1"/>
          <w:kern w:val="0"/>
        </w:rPr>
        <w:t>二、</w:t>
      </w:r>
      <w:r>
        <w:rPr>
          <w:rFonts w:hint="eastAsia" w:ascii="方正黑体_GBK" w:eastAsia="方正黑体_GBK"/>
          <w:b w:val="0"/>
          <w:bCs w:val="0"/>
          <w:color w:val="000000" w:themeColor="text1"/>
          <w:kern w:val="0"/>
        </w:rPr>
        <w:fldChar w:fldCharType="end"/>
      </w:r>
      <w:r>
        <w:rPr>
          <w:rFonts w:hint="eastAsia" w:ascii="方正黑体_GBK" w:eastAsia="方正黑体_GBK"/>
          <w:b w:val="0"/>
          <w:bCs w:val="0"/>
          <w:color w:val="000000" w:themeColor="text1"/>
          <w:kern w:val="0"/>
        </w:rPr>
        <w:t>提升燃气保障基础设施体系</w:t>
      </w:r>
      <w:bookmarkEnd w:id="91"/>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按照“统筹发展、效率优先、技术先进、经济可行”的原则，积极扩大天然气利用领域，提高天然气综合利用率。构筑覆盖全域的天然气供应体系，建设天然气储气调峰设施，增强全区天然气供应保障能力；完善市域高压输配管网系统，实现各区域互联互通；优化区市次高压和中压配气管网系统，提高城市燃管网输配能力；根据道路建设时序同步实施燃气管网建设。</w:t>
      </w:r>
      <w:r>
        <w:rPr>
          <w:rFonts w:eastAsia="方正仿宋_GBK"/>
          <w:bCs/>
          <w:color w:val="000000" w:themeColor="text1"/>
          <w:kern w:val="0"/>
          <w:sz w:val="32"/>
          <w:szCs w:val="32"/>
        </w:rPr>
        <w:t>到2025年，</w:t>
      </w:r>
      <w:r>
        <w:rPr>
          <w:rFonts w:eastAsia="方正仿宋_GBK"/>
          <w:color w:val="000000" w:themeColor="text1"/>
          <w:kern w:val="0"/>
          <w:sz w:val="32"/>
          <w:szCs w:val="32"/>
        </w:rPr>
        <w:t>规划建设燃气设施项目共6项，围绕中心城区建设稳步推进中压燃气管网配套工程。新建南大街延伸段、景城大道、永隆山、金山二路、青平至大观燃气管网，管网长度约16公里。项目总投资0.12亿元。</w:t>
      </w:r>
    </w:p>
    <w:p>
      <w:pPr>
        <w:pStyle w:val="2"/>
        <w:rPr>
          <w:rFonts w:eastAsia="方正仿宋_GBK"/>
          <w:color w:val="000000" w:themeColor="text1"/>
          <w:kern w:val="0"/>
          <w:sz w:val="32"/>
          <w:szCs w:val="32"/>
        </w:rPr>
      </w:pPr>
    </w:p>
    <w:p>
      <w:pPr>
        <w:spacing w:line="580" w:lineRule="exact"/>
        <w:jc w:val="center"/>
        <w:rPr>
          <w:rFonts w:ascii="方正黑体_GBK" w:eastAsia="方正黑体_GBK"/>
          <w:color w:val="000000" w:themeColor="text1"/>
          <w:kern w:val="0"/>
          <w:sz w:val="32"/>
          <w:szCs w:val="32"/>
        </w:rPr>
      </w:pPr>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1</w:t>
      </w:r>
      <w:r>
        <w:rPr>
          <w:rFonts w:hint="eastAsia" w:ascii="方正黑体_GBK" w:eastAsia="方正黑体_GBK"/>
          <w:bCs/>
          <w:color w:val="000000" w:themeColor="text1"/>
          <w:kern w:val="0"/>
          <w:sz w:val="28"/>
          <w:szCs w:val="28"/>
        </w:rPr>
        <w:t>2南川区燃气设施建设规划表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010"/>
        <w:gridCol w:w="2268"/>
        <w:gridCol w:w="1520"/>
        <w:gridCol w:w="139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5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10"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南川南大街延伸段燃气管网工程</w:t>
            </w:r>
          </w:p>
        </w:tc>
        <w:tc>
          <w:tcPr>
            <w:tcW w:w="2268"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新建de110PE管约3000米</w:t>
            </w:r>
          </w:p>
        </w:tc>
        <w:tc>
          <w:tcPr>
            <w:tcW w:w="15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021~2022</w:t>
            </w:r>
          </w:p>
        </w:tc>
        <w:tc>
          <w:tcPr>
            <w:tcW w:w="1399"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204</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南川区景城大道燃气管网工程（一期）</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新建de160PE管约1000米</w:t>
            </w:r>
          </w:p>
        </w:tc>
        <w:tc>
          <w:tcPr>
            <w:tcW w:w="15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021~2022</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68</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南川永隆山燃气管网工程</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新建de160PE管约2000米</w:t>
            </w:r>
          </w:p>
        </w:tc>
        <w:tc>
          <w:tcPr>
            <w:tcW w:w="15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022~2023</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136</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南川青平至大观燃气管道工程</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新建D159钢管约5000米</w:t>
            </w:r>
          </w:p>
        </w:tc>
        <w:tc>
          <w:tcPr>
            <w:tcW w:w="15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022~2023</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375</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南川金山二路燃气管网工程</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新建D159钢管约3000米（涉及管线进入综合管廊）</w:t>
            </w:r>
          </w:p>
        </w:tc>
        <w:tc>
          <w:tcPr>
            <w:tcW w:w="15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023~2024</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225</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南川区景城大道燃气管网工程（二期）</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新建D159钢管约2000米（涉及管线进入综合管廊）</w:t>
            </w:r>
          </w:p>
        </w:tc>
        <w:tc>
          <w:tcPr>
            <w:tcW w:w="15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023~2024</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150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4"/>
        <w:spacing w:line="580" w:lineRule="exact"/>
        <w:jc w:val="center"/>
        <w:rPr>
          <w:rFonts w:ascii="方正黑体_GBK" w:eastAsia="方正黑体_GBK"/>
          <w:b w:val="0"/>
          <w:bCs w:val="0"/>
          <w:color w:val="000000" w:themeColor="text1"/>
          <w:kern w:val="0"/>
        </w:rPr>
      </w:pPr>
      <w:bookmarkStart w:id="92" w:name="_Toc90910500"/>
      <w:r>
        <w:rPr>
          <w:rFonts w:hint="eastAsia" w:ascii="方正黑体_GBK" w:eastAsia="方正黑体_GBK"/>
          <w:b w:val="0"/>
          <w:bCs w:val="0"/>
          <w:color w:val="000000" w:themeColor="text1"/>
          <w:kern w:val="0"/>
        </w:rPr>
        <w:t xml:space="preserve">第三节 </w:t>
      </w:r>
      <w:r>
        <w:fldChar w:fldCharType="begin"/>
      </w:r>
      <w:r>
        <w:instrText xml:space="preserve"> HYPERLINK \l "_Toc57993010" </w:instrText>
      </w:r>
      <w:r>
        <w:fldChar w:fldCharType="separate"/>
      </w:r>
      <w:r>
        <w:rPr>
          <w:rFonts w:hint="eastAsia" w:ascii="方正黑体_GBK" w:eastAsia="方正黑体_GBK"/>
          <w:b w:val="0"/>
          <w:bCs w:val="0"/>
          <w:color w:val="000000" w:themeColor="text1"/>
          <w:kern w:val="0"/>
        </w:rPr>
        <w:t>构建环境友好的市政环卫体系</w:t>
      </w:r>
      <w:bookmarkEnd w:id="92"/>
      <w:r>
        <w:rPr>
          <w:rFonts w:hint="eastAsia" w:ascii="方正黑体_GBK" w:eastAsia="方正黑体_GBK"/>
          <w:b w:val="0"/>
          <w:bCs w:val="0"/>
          <w:color w:val="000000" w:themeColor="text1"/>
          <w:kern w:val="0"/>
        </w:rPr>
        <w:fldChar w:fldCharType="end"/>
      </w:r>
    </w:p>
    <w:p>
      <w:pPr>
        <w:pStyle w:val="5"/>
        <w:spacing w:before="0" w:after="0" w:line="580" w:lineRule="exact"/>
        <w:ind w:firstLine="643" w:firstLineChars="200"/>
        <w:rPr>
          <w:rFonts w:ascii="方正黑体_GBK" w:eastAsia="方正黑体_GBK"/>
          <w:b w:val="0"/>
          <w:bCs w:val="0"/>
          <w:color w:val="000000" w:themeColor="text1"/>
          <w:kern w:val="0"/>
        </w:rPr>
      </w:pPr>
      <w:r>
        <w:fldChar w:fldCharType="begin"/>
      </w:r>
      <w:r>
        <w:instrText xml:space="preserve"> HYPERLINK \l "_Toc57993011" </w:instrText>
      </w:r>
      <w:r>
        <w:fldChar w:fldCharType="separate"/>
      </w:r>
      <w:bookmarkStart w:id="93" w:name="_Toc90910501"/>
      <w:r>
        <w:rPr>
          <w:rFonts w:hint="eastAsia" w:ascii="方正黑体_GBK" w:eastAsia="方正黑体_GBK"/>
          <w:b w:val="0"/>
          <w:bCs w:val="0"/>
          <w:color w:val="000000" w:themeColor="text1"/>
          <w:kern w:val="0"/>
        </w:rPr>
        <w:t>一、</w:t>
      </w:r>
      <w:r>
        <w:rPr>
          <w:rFonts w:hint="eastAsia" w:ascii="方正黑体_GBK" w:eastAsia="方正黑体_GBK"/>
          <w:b w:val="0"/>
          <w:bCs w:val="0"/>
          <w:color w:val="000000" w:themeColor="text1"/>
          <w:kern w:val="0"/>
        </w:rPr>
        <w:fldChar w:fldCharType="end"/>
      </w:r>
      <w:r>
        <w:rPr>
          <w:rFonts w:hint="eastAsia" w:ascii="方正黑体_GBK" w:eastAsia="方正黑体_GBK"/>
          <w:b w:val="0"/>
          <w:bCs w:val="0"/>
          <w:color w:val="000000" w:themeColor="text1"/>
          <w:kern w:val="0"/>
        </w:rPr>
        <w:t>提升水安全保障能力</w:t>
      </w:r>
      <w:bookmarkEnd w:id="93"/>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至“十四五”末，初步构成“安全、节水、低碳”的城市供水系统，进一步推进水资源统一调配、联通联动，健全城市供水全环节安全保障体系，以提高供水水质和安全可靠性，降低电耗、药耗和漏耗为目的，同步更新改造给水管网，形成供水能力充足、水质优良、管网布局合理的安全供水体系。</w:t>
      </w:r>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到2025年，规划重点建设项目共4项，总投资</w:t>
      </w:r>
      <w:r>
        <w:rPr>
          <w:rFonts w:hint="eastAsia" w:eastAsia="方正仿宋_GBK"/>
          <w:color w:val="000000" w:themeColor="text1"/>
          <w:kern w:val="0"/>
          <w:sz w:val="32"/>
          <w:szCs w:val="32"/>
        </w:rPr>
        <w:t>9</w:t>
      </w:r>
      <w:r>
        <w:rPr>
          <w:rFonts w:eastAsia="方正仿宋_GBK"/>
          <w:color w:val="000000" w:themeColor="text1"/>
          <w:kern w:val="0"/>
          <w:sz w:val="32"/>
          <w:szCs w:val="32"/>
        </w:rPr>
        <w:t>.</w:t>
      </w:r>
      <w:r>
        <w:rPr>
          <w:rFonts w:hint="eastAsia" w:eastAsia="方正仿宋_GBK"/>
          <w:color w:val="000000" w:themeColor="text1"/>
          <w:kern w:val="0"/>
          <w:sz w:val="32"/>
          <w:szCs w:val="32"/>
        </w:rPr>
        <w:t>60</w:t>
      </w:r>
      <w:r>
        <w:rPr>
          <w:rFonts w:eastAsia="方正仿宋_GBK"/>
          <w:color w:val="000000" w:themeColor="text1"/>
          <w:kern w:val="0"/>
          <w:sz w:val="32"/>
          <w:szCs w:val="32"/>
        </w:rPr>
        <w:t>亿元。包括建设供水水源、给水厂建设、管网建设等。</w:t>
      </w:r>
    </w:p>
    <w:p>
      <w:pPr>
        <w:spacing w:line="580" w:lineRule="exact"/>
        <w:ind w:firstLine="640" w:firstLineChars="200"/>
        <w:rPr>
          <w:rFonts w:ascii="方正楷体_GBK" w:hAnsi="方正楷体_GBK" w:eastAsia="方正楷体_GBK" w:cs="方正楷体_GBK"/>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（1）水源规划</w:t>
      </w:r>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续建沿塘水库。沿塘水库位于西城街道，属小（1）型水库，总库容为464万立方米，用于农业灌溉及人畜饮水。</w:t>
      </w:r>
    </w:p>
    <w:p>
      <w:pPr>
        <w:spacing w:line="580" w:lineRule="exact"/>
        <w:ind w:firstLine="640" w:firstLineChars="200"/>
        <w:rPr>
          <w:rFonts w:ascii="方正楷体_GBK" w:hAnsi="方正楷体_GBK" w:eastAsia="方正楷体_GBK" w:cs="方正楷体_GBK"/>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（2）水厂规划</w:t>
      </w:r>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续建南川区城区供水一体化建设项目。扩建鹰岩水处理厂，新增供水能力8万m</w:t>
      </w:r>
      <w:r>
        <w:rPr>
          <w:rFonts w:eastAsia="方正仿宋_GBK"/>
          <w:color w:val="000000" w:themeColor="text1"/>
          <w:kern w:val="0"/>
          <w:sz w:val="32"/>
          <w:szCs w:val="32"/>
          <w:vertAlign w:val="superscript"/>
        </w:rPr>
        <w:t>3</w:t>
      </w:r>
      <w:r>
        <w:rPr>
          <w:rFonts w:eastAsia="方正仿宋_GBK"/>
          <w:color w:val="000000" w:themeColor="text1"/>
          <w:kern w:val="0"/>
          <w:sz w:val="32"/>
          <w:szCs w:val="32"/>
        </w:rPr>
        <w:t>/d，同时配套建设供水主管道。</w:t>
      </w:r>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新建严家坝（华尔寺）水厂，供水规模为5.0万m</w:t>
      </w:r>
      <w:r>
        <w:rPr>
          <w:rFonts w:eastAsia="方正仿宋_GBK"/>
          <w:color w:val="000000" w:themeColor="text1"/>
          <w:kern w:val="0"/>
          <w:sz w:val="32"/>
          <w:szCs w:val="32"/>
          <w:vertAlign w:val="superscript"/>
        </w:rPr>
        <w:t>3</w:t>
      </w:r>
      <w:r>
        <w:rPr>
          <w:rFonts w:eastAsia="方正仿宋_GBK"/>
          <w:color w:val="000000" w:themeColor="text1"/>
          <w:kern w:val="0"/>
          <w:sz w:val="32"/>
          <w:szCs w:val="32"/>
        </w:rPr>
        <w:t>/d，输配水主管总长度77.6km。</w:t>
      </w:r>
    </w:p>
    <w:p>
      <w:pPr>
        <w:spacing w:line="580" w:lineRule="exact"/>
        <w:ind w:firstLine="640" w:firstLineChars="200"/>
        <w:rPr>
          <w:rFonts w:ascii="方正楷体_GBK" w:hAnsi="方正楷体_GBK" w:eastAsia="方正楷体_GBK" w:cs="方正楷体_GBK"/>
          <w:color w:val="000000" w:themeColor="text1"/>
          <w:kern w:val="0"/>
          <w:sz w:val="32"/>
          <w:szCs w:val="32"/>
        </w:rPr>
      </w:pPr>
      <w:r>
        <w:rPr>
          <w:rFonts w:hint="eastAsia" w:ascii="方正楷体_GBK" w:hAnsi="方正楷体_GBK" w:eastAsia="方正楷体_GBK" w:cs="方正楷体_GBK"/>
          <w:color w:val="000000" w:themeColor="text1"/>
          <w:kern w:val="0"/>
          <w:sz w:val="32"/>
          <w:szCs w:val="32"/>
        </w:rPr>
        <w:t>（3）管网规划</w:t>
      </w:r>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推进南川区城乡供水品质提升工程，新建供水管网约62822米，改造老旧小区供水管道总长度约56003米。建设城市供水管网漏损监控信息化技术改造工程，构建地理信息系统及小区二次供水设备智能化监测系统。</w:t>
      </w:r>
    </w:p>
    <w:p>
      <w:pPr>
        <w:spacing w:line="580" w:lineRule="exact"/>
        <w:ind w:firstLine="640" w:firstLineChars="200"/>
        <w:rPr>
          <w:rFonts w:ascii="方正黑体_GBK" w:eastAsia="方正黑体_GBK"/>
          <w:color w:val="000000" w:themeColor="text1"/>
          <w:kern w:val="0"/>
          <w:sz w:val="32"/>
          <w:szCs w:val="32"/>
        </w:rPr>
      </w:pPr>
      <w:r>
        <w:rPr>
          <w:rFonts w:eastAsia="方正仿宋_GBK"/>
          <w:color w:val="000000" w:themeColor="text1"/>
          <w:kern w:val="0"/>
          <w:sz w:val="32"/>
          <w:szCs w:val="32"/>
        </w:rPr>
        <w:t>输配水管网应根据其重要性和城市建设时序分期实施，尽量与城市道路的新建、改造同步进行，避免重复开挖。</w:t>
      </w:r>
    </w:p>
    <w:p>
      <w:pPr>
        <w:spacing w:line="580" w:lineRule="exact"/>
        <w:jc w:val="center"/>
        <w:rPr>
          <w:rFonts w:ascii="方正黑体_GBK" w:eastAsia="方正黑体_GBK"/>
          <w:color w:val="000000" w:themeColor="text1"/>
          <w:kern w:val="0"/>
          <w:sz w:val="32"/>
          <w:szCs w:val="32"/>
        </w:rPr>
      </w:pPr>
      <w:bookmarkStart w:id="94" w:name="_Hlk92787270"/>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1</w:t>
      </w:r>
      <w:r>
        <w:rPr>
          <w:rFonts w:hint="eastAsia" w:ascii="方正黑体_GBK" w:eastAsia="方正黑体_GBK"/>
          <w:bCs/>
          <w:color w:val="000000" w:themeColor="text1"/>
          <w:kern w:val="0"/>
          <w:sz w:val="28"/>
          <w:szCs w:val="28"/>
        </w:rPr>
        <w:t>3南川区给水设施建设规划表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11"/>
        <w:gridCol w:w="3320"/>
        <w:gridCol w:w="1280"/>
        <w:gridCol w:w="120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61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33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28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20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4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611"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沿塘水库</w:t>
            </w:r>
          </w:p>
        </w:tc>
        <w:tc>
          <w:tcPr>
            <w:tcW w:w="3320"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续建西城街道沿塘水库的小型（1）水库，总库容为464万立方米</w:t>
            </w:r>
          </w:p>
        </w:tc>
        <w:tc>
          <w:tcPr>
            <w:tcW w:w="128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019~2021</w:t>
            </w:r>
          </w:p>
        </w:tc>
        <w:tc>
          <w:tcPr>
            <w:tcW w:w="1201"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5046.65</w:t>
            </w:r>
          </w:p>
        </w:tc>
        <w:tc>
          <w:tcPr>
            <w:tcW w:w="74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161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南川区城区供水一体化建设项目</w:t>
            </w:r>
          </w:p>
        </w:tc>
        <w:tc>
          <w:tcPr>
            <w:tcW w:w="33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项目占地面积48.24亩，扩建鹰岩水处理厂，新增日供水能力8万立方米</w:t>
            </w:r>
          </w:p>
        </w:tc>
        <w:tc>
          <w:tcPr>
            <w:tcW w:w="128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020~2022</w:t>
            </w:r>
          </w:p>
        </w:tc>
        <w:tc>
          <w:tcPr>
            <w:tcW w:w="120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40388.76</w:t>
            </w:r>
          </w:p>
        </w:tc>
        <w:tc>
          <w:tcPr>
            <w:tcW w:w="74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161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重庆市南川区城乡供水品质提升工程</w:t>
            </w:r>
          </w:p>
        </w:tc>
        <w:tc>
          <w:tcPr>
            <w:tcW w:w="332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城乡供水管网延伸及改造DN300～DN600供水管道10060米；2、梅垭水处理厂升级改造，厂区设施设备更新、智能化建设、系统环境整治；3、城市供水智能化管理，建设地理信息系统，DMA分区漏损系统和小区二次供水设备、泵房监控系统、在线监测系统，城区供水管网设施升级及一户一表提升改造</w:t>
            </w:r>
          </w:p>
        </w:tc>
        <w:tc>
          <w:tcPr>
            <w:tcW w:w="128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022~202</w:t>
            </w:r>
            <w:r>
              <w:rPr>
                <w:rFonts w:hint="eastAsia" w:ascii="方正黑体_GBK" w:eastAsia="方正黑体_GBK"/>
                <w:bCs/>
                <w:color w:val="000000" w:themeColor="text1"/>
                <w:kern w:val="0"/>
                <w:szCs w:val="21"/>
              </w:rPr>
              <w:t>5</w:t>
            </w:r>
          </w:p>
        </w:tc>
        <w:tc>
          <w:tcPr>
            <w:tcW w:w="1201" w:type="dxa"/>
            <w:vAlign w:val="center"/>
          </w:tcPr>
          <w:p>
            <w:pPr>
              <w:snapToGrid w:val="0"/>
              <w:spacing w:line="44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13270.26</w:t>
            </w:r>
          </w:p>
        </w:tc>
        <w:tc>
          <w:tcPr>
            <w:tcW w:w="74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9" w:hRule="atLeast"/>
        </w:trPr>
        <w:tc>
          <w:tcPr>
            <w:tcW w:w="0" w:type="auto"/>
            <w:vAlign w:val="center"/>
          </w:tcPr>
          <w:p>
            <w:pPr>
              <w:spacing w:line="440" w:lineRule="exact"/>
              <w:jc w:val="center"/>
              <w:rPr>
                <w:rFonts w:ascii="方正黑体_GBK" w:eastAsia="方正黑体_GBK"/>
                <w:color w:val="000000" w:themeColor="text1"/>
              </w:rPr>
            </w:pPr>
            <w:r>
              <w:rPr>
                <w:rFonts w:hint="eastAsia" w:ascii="方正黑体_GBK" w:eastAsia="方正黑体_GBK"/>
                <w:color w:val="000000" w:themeColor="text1"/>
              </w:rPr>
              <w:t>4</w:t>
            </w:r>
          </w:p>
        </w:tc>
        <w:tc>
          <w:tcPr>
            <w:tcW w:w="1611" w:type="dxa"/>
            <w:vAlign w:val="center"/>
          </w:tcPr>
          <w:p>
            <w:pPr>
              <w:snapToGrid w:val="0"/>
              <w:spacing w:line="440" w:lineRule="exact"/>
              <w:jc w:val="center"/>
              <w:rPr>
                <w:rFonts w:ascii="方正黑体_GBK" w:eastAsia="方正黑体_GBK"/>
                <w:color w:val="000000" w:themeColor="text1"/>
              </w:rPr>
            </w:pPr>
            <w:r>
              <w:rPr>
                <w:rFonts w:hint="eastAsia" w:ascii="方正黑体_GBK" w:eastAsia="方正黑体_GBK"/>
                <w:bCs/>
                <w:color w:val="000000" w:themeColor="text1"/>
                <w:kern w:val="0"/>
                <w:szCs w:val="21"/>
              </w:rPr>
              <w:t>重庆南川区严家坝(华尔寺)水厂工程</w:t>
            </w:r>
          </w:p>
        </w:tc>
        <w:tc>
          <w:tcPr>
            <w:tcW w:w="3320" w:type="dxa"/>
            <w:vAlign w:val="center"/>
          </w:tcPr>
          <w:p>
            <w:pPr>
              <w:spacing w:line="440" w:lineRule="exact"/>
              <w:jc w:val="center"/>
              <w:rPr>
                <w:rFonts w:ascii="方正黑体_GBK" w:eastAsia="方正黑体_GBK"/>
                <w:color w:val="000000" w:themeColor="text1"/>
              </w:rPr>
            </w:pPr>
            <w:r>
              <w:rPr>
                <w:rFonts w:hint="eastAsia" w:ascii="方正黑体_GBK" w:eastAsia="方正黑体_GBK"/>
                <w:color w:val="000000" w:themeColor="text1"/>
              </w:rPr>
              <w:t>“新建净水厂供水规模为5万m³/d，占地34.23亩；主要建设净水厂常规处理设施、深度处理设施和排泥水处理设施等，安装DN900取水管道长12.035km：安装主水源至净水厂DN900输水管道4.43km，备用水源至净水厂DN800输水管道9.82km，安装DN200-700配水管网总长46.49km。配套建设加药加氯间427.40m2，送水泵房155.68m2、配电房336.16m2、综合楼947.68m2和电气、自控及仪表工程等,相关附属工程。</w:t>
            </w:r>
          </w:p>
        </w:tc>
        <w:tc>
          <w:tcPr>
            <w:tcW w:w="1280" w:type="dxa"/>
            <w:vAlign w:val="center"/>
          </w:tcPr>
          <w:p>
            <w:pPr>
              <w:spacing w:line="440" w:lineRule="exact"/>
              <w:jc w:val="center"/>
              <w:rPr>
                <w:rFonts w:ascii="方正黑体_GBK" w:eastAsia="方正黑体_GBK"/>
                <w:color w:val="000000" w:themeColor="text1"/>
              </w:rPr>
            </w:pPr>
            <w:r>
              <w:rPr>
                <w:rFonts w:hint="eastAsia" w:ascii="方正黑体_GBK" w:eastAsia="方正黑体_GBK"/>
                <w:color w:val="000000" w:themeColor="text1"/>
              </w:rPr>
              <w:t>202</w:t>
            </w:r>
            <w:r>
              <w:rPr>
                <w:rFonts w:ascii="方正黑体_GBK" w:eastAsia="方正黑体_GBK"/>
                <w:color w:val="000000" w:themeColor="text1"/>
              </w:rPr>
              <w:t>2</w:t>
            </w:r>
            <w:r>
              <w:rPr>
                <w:rFonts w:hint="eastAsia" w:ascii="方正黑体_GBK" w:eastAsia="方正黑体_GBK"/>
                <w:color w:val="000000" w:themeColor="text1"/>
              </w:rPr>
              <w:t>~2024</w:t>
            </w:r>
          </w:p>
        </w:tc>
        <w:tc>
          <w:tcPr>
            <w:tcW w:w="1201" w:type="dxa"/>
            <w:vAlign w:val="center"/>
          </w:tcPr>
          <w:p>
            <w:pPr>
              <w:spacing w:line="440" w:lineRule="exact"/>
              <w:jc w:val="center"/>
              <w:rPr>
                <w:rFonts w:ascii="方正黑体_GBK" w:eastAsia="方正黑体_GBK"/>
                <w:color w:val="000000" w:themeColor="text1"/>
              </w:rPr>
            </w:pPr>
            <w:r>
              <w:rPr>
                <w:rFonts w:ascii="方正黑体_GBK" w:eastAsia="方正黑体_GBK"/>
                <w:color w:val="000000" w:themeColor="text1"/>
              </w:rPr>
              <w:t>37277.90</w:t>
            </w:r>
          </w:p>
        </w:tc>
        <w:tc>
          <w:tcPr>
            <w:tcW w:w="749" w:type="dxa"/>
            <w:vAlign w:val="center"/>
          </w:tcPr>
          <w:p>
            <w:pPr>
              <w:spacing w:line="440" w:lineRule="exact"/>
              <w:jc w:val="center"/>
              <w:rPr>
                <w:rFonts w:ascii="方正黑体_GBK" w:eastAsia="方正黑体_GBK"/>
                <w:color w:val="000000" w:themeColor="text1"/>
              </w:rPr>
            </w:pPr>
            <w:r>
              <w:rPr>
                <w:rFonts w:hint="eastAsia" w:ascii="方正黑体_GBK" w:eastAsia="方正黑体_GBK"/>
                <w:color w:val="000000" w:themeColor="text1"/>
              </w:rPr>
              <w:t>新建</w:t>
            </w:r>
          </w:p>
        </w:tc>
      </w:tr>
      <w:bookmarkEnd w:id="94"/>
    </w:tbl>
    <w:p>
      <w:pPr>
        <w:pStyle w:val="5"/>
        <w:spacing w:beforeLines="50" w:after="0" w:line="580" w:lineRule="exact"/>
        <w:ind w:firstLine="640" w:firstLineChars="200"/>
        <w:rPr>
          <w:rFonts w:ascii="方正黑体_GBK" w:eastAsia="方正黑体_GBK"/>
          <w:b w:val="0"/>
          <w:bCs w:val="0"/>
          <w:color w:val="000000" w:themeColor="text1"/>
          <w:kern w:val="0"/>
        </w:rPr>
      </w:pPr>
      <w:r>
        <w:rPr>
          <w:rFonts w:hint="eastAsia" w:ascii="方正黑体_GBK" w:hAnsi="方正黑体_GBK" w:eastAsia="方正黑体_GBK" w:cs="方正黑体_GBK"/>
          <w:b w:val="0"/>
          <w:bCs w:val="0"/>
          <w:color w:val="000000" w:themeColor="text1"/>
        </w:rPr>
        <w:fldChar w:fldCharType="begin"/>
      </w:r>
      <w:r>
        <w:rPr>
          <w:rFonts w:hint="eastAsia" w:ascii="方正黑体_GBK" w:hAnsi="方正黑体_GBK" w:eastAsia="方正黑体_GBK" w:cs="方正黑体_GBK"/>
          <w:b w:val="0"/>
          <w:bCs w:val="0"/>
          <w:color w:val="000000" w:themeColor="text1"/>
        </w:rPr>
        <w:instrText xml:space="preserve"> HYPERLINK \l "_Toc57993012" </w:instrText>
      </w:r>
      <w:r>
        <w:rPr>
          <w:rFonts w:hint="eastAsia" w:ascii="方正黑体_GBK" w:hAnsi="方正黑体_GBK" w:eastAsia="方正黑体_GBK" w:cs="方正黑体_GBK"/>
          <w:b w:val="0"/>
          <w:bCs w:val="0"/>
          <w:color w:val="000000" w:themeColor="text1"/>
        </w:rPr>
        <w:fldChar w:fldCharType="separate"/>
      </w:r>
      <w:bookmarkStart w:id="95" w:name="_Toc90910502"/>
      <w:r>
        <w:rPr>
          <w:rFonts w:hint="eastAsia" w:ascii="方正黑体_GBK" w:hAnsi="方正黑体_GBK" w:eastAsia="方正黑体_GBK" w:cs="方正黑体_GBK"/>
          <w:b w:val="0"/>
          <w:bCs w:val="0"/>
          <w:color w:val="000000" w:themeColor="text1"/>
          <w:kern w:val="0"/>
        </w:rPr>
        <w:t>二、</w:t>
      </w:r>
      <w:r>
        <w:rPr>
          <w:rFonts w:hint="eastAsia" w:ascii="方正黑体_GBK" w:hAnsi="方正黑体_GBK" w:eastAsia="方正黑体_GBK" w:cs="方正黑体_GBK"/>
          <w:b w:val="0"/>
          <w:bCs w:val="0"/>
          <w:color w:val="000000" w:themeColor="text1"/>
          <w:kern w:val="0"/>
        </w:rPr>
        <w:fldChar w:fldCharType="end"/>
      </w:r>
      <w:r>
        <w:rPr>
          <w:rFonts w:hint="eastAsia" w:ascii="方正黑体_GBK" w:hAnsi="方正黑体_GBK" w:eastAsia="方正黑体_GBK" w:cs="方正黑体_GBK"/>
          <w:b w:val="0"/>
          <w:bCs w:val="0"/>
          <w:color w:val="000000" w:themeColor="text1"/>
          <w:kern w:val="0"/>
        </w:rPr>
        <w:t>推进城市排水设施建设</w:t>
      </w:r>
      <w:bookmarkEnd w:id="95"/>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合理布局排水管网、雨水泵站以及深入开展内河水系治理。加快排水泵站、雨水管渠、雨污合流管渠、防涝设施建设，增强城市排水能力，建设智慧排水管理平台，形成实时监测、动态更新、智能控制的城市排水系统、加强排水设施精细化管理。提高城市防汛排涝能力，城市新建区、城市改造区建成完善的防涝系统，满足50年一遇防涝标准，小雨不积水，大雨不内涝。</w:t>
      </w:r>
    </w:p>
    <w:p>
      <w:pPr>
        <w:spacing w:line="580" w:lineRule="exact"/>
        <w:ind w:firstLine="640" w:firstLineChars="200"/>
        <w:rPr>
          <w:rFonts w:ascii="方正黑体_GBK" w:eastAsia="方正黑体_GBK"/>
          <w:color w:val="000000" w:themeColor="text1"/>
          <w:kern w:val="0"/>
          <w:sz w:val="32"/>
          <w:szCs w:val="32"/>
        </w:rPr>
      </w:pPr>
      <w:r>
        <w:rPr>
          <w:rFonts w:eastAsia="方正仿宋_GBK"/>
          <w:color w:val="000000" w:themeColor="text1"/>
          <w:kern w:val="0"/>
          <w:sz w:val="32"/>
          <w:szCs w:val="32"/>
        </w:rPr>
        <w:t>到2025年，规划建设排水工程项目共7项，总投资0.82亿元。重点解决中心城区共有4处内涝点，包括市民广场下穿道内涝积水点整治工程、南园路内涝积水点整治工程、黄淦河积水点整治工程、电影院内涝点积水点整治工程，彻底消除中心城区内涝点。积极推进九鼎山沿山排水渠导流工程、永隆山沿山排水渠导流工程、花盆山沿山排水渠导流工程，将山洪引入河道，以解决山洪水排放问题。道路配套排水管网应根据道路建设时序同步实施。</w:t>
      </w:r>
    </w:p>
    <w:p>
      <w:pPr>
        <w:spacing w:line="580" w:lineRule="exact"/>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1</w:t>
      </w:r>
      <w:r>
        <w:rPr>
          <w:rFonts w:hint="eastAsia" w:ascii="方正黑体_GBK" w:eastAsia="方正黑体_GBK"/>
          <w:bCs/>
          <w:color w:val="000000" w:themeColor="text1"/>
          <w:kern w:val="0"/>
          <w:sz w:val="28"/>
          <w:szCs w:val="28"/>
        </w:rPr>
        <w:t>4南川区排水设施建设规划表</w:t>
      </w:r>
    </w:p>
    <w:tbl>
      <w:tblPr>
        <w:tblStyle w:val="1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824"/>
        <w:gridCol w:w="3189"/>
        <w:gridCol w:w="1131"/>
        <w:gridCol w:w="1241"/>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318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市民广场下穿道内涝积水点整治工程</w:t>
            </w:r>
          </w:p>
        </w:tc>
        <w:tc>
          <w:tcPr>
            <w:tcW w:w="318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下穿道内现状d500污水管进行清淤，清淤长度70.4m；在下穿道内两侧通道低点分别新建雨水泵站，泵站流量均为410m</w:t>
            </w:r>
            <w:r>
              <w:rPr>
                <w:rFonts w:hint="eastAsia" w:ascii="方正黑体_GBK" w:eastAsia="方正黑体_GBK"/>
                <w:bCs/>
                <w:color w:val="000000" w:themeColor="text1"/>
                <w:kern w:val="0"/>
                <w:szCs w:val="21"/>
                <w:vertAlign w:val="superscript"/>
              </w:rPr>
              <w:t>3</w:t>
            </w:r>
            <w:r>
              <w:rPr>
                <w:rFonts w:hint="eastAsia" w:ascii="方正黑体_GBK" w:eastAsia="方正黑体_GBK"/>
                <w:bCs/>
                <w:color w:val="000000" w:themeColor="text1"/>
                <w:kern w:val="0"/>
                <w:szCs w:val="21"/>
              </w:rPr>
              <w:t>/h，扬程均为18m；新建d300压力雨水管道为583m。</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00</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南园路内涝积水点整治工程</w:t>
            </w:r>
          </w:p>
        </w:tc>
        <w:tc>
          <w:tcPr>
            <w:tcW w:w="318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沿金浦路与金山大道新建雨水管d1000，长度为385m</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30</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黄淦河积水点整治工程</w:t>
            </w:r>
          </w:p>
        </w:tc>
        <w:tc>
          <w:tcPr>
            <w:tcW w:w="31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在铁路下穿道两头增设横向雨水截水沟，规模分别为800×800mm、700×700 mm、600×500 mm，总长度为54.2m；新建雨水管管径为d600～d800，总长度49m，迁改d300污水管道31m；增设雨水明沟，规模为300×300mm、400×400 mm，总长度为947m。</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60</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电影院内涝点积水点整治工程</w:t>
            </w:r>
          </w:p>
        </w:tc>
        <w:tc>
          <w:tcPr>
            <w:tcW w:w="31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新建一座雨水提升泵站，泵站设计流量为200m</w:t>
            </w:r>
            <w:r>
              <w:rPr>
                <w:rFonts w:hint="eastAsia" w:ascii="方正黑体_GBK" w:eastAsia="方正黑体_GBK"/>
                <w:bCs/>
                <w:color w:val="000000" w:themeColor="text1"/>
                <w:kern w:val="0"/>
                <w:szCs w:val="21"/>
                <w:vertAlign w:val="superscript"/>
              </w:rPr>
              <w:t>3</w:t>
            </w:r>
            <w:r>
              <w:rPr>
                <w:rFonts w:hint="eastAsia" w:ascii="方正黑体_GBK" w:eastAsia="方正黑体_GBK"/>
                <w:bCs/>
                <w:color w:val="000000" w:themeColor="text1"/>
                <w:kern w:val="0"/>
                <w:szCs w:val="21"/>
              </w:rPr>
              <w:t>/h,设计扬程为20m。</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021~2022</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w:t>
            </w:r>
            <w:r>
              <w:rPr>
                <w:rFonts w:ascii="方正黑体_GBK" w:eastAsia="方正黑体_GBK"/>
                <w:bCs/>
                <w:color w:val="000000" w:themeColor="text1"/>
                <w:kern w:val="0"/>
                <w:szCs w:val="21"/>
              </w:rPr>
              <w:t>0</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九鼎山沿山排水渠导流工程</w:t>
            </w:r>
          </w:p>
        </w:tc>
        <w:tc>
          <w:tcPr>
            <w:tcW w:w="31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沿九鼎山城区规划区修建排水渠，排水渠道起于金佛康城后侧沿山建设，通过金山二路排入凤嘴江，渠道规模1.0*1.2米、管道规模为d1600mm，总长约为3公里</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021~2023</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300</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永隆山沿山排水渠导流工程</w:t>
            </w:r>
          </w:p>
        </w:tc>
        <w:tc>
          <w:tcPr>
            <w:tcW w:w="31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沿永隆山城区规划区范围修建排水渠，北段渠道起于二棵树观景台下边坡外，在南大路二期终点附近接入道路排水系统，南段渠道起于龙济二路与金山一路衔接外边坡上，在变电站附近接入龙记济二路排水系统，渠道规模1.0*1.2米，总长为3公里。</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021~2023</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000</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p>
        </w:tc>
        <w:tc>
          <w:tcPr>
            <w:tcW w:w="182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花盆山沿山排水渠导流工程</w:t>
            </w:r>
          </w:p>
        </w:tc>
        <w:tc>
          <w:tcPr>
            <w:tcW w:w="318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沿花盆山城区规划区范围修建排水渠，起于南川殡仪馆，沿着花盆山山脚铺设建造，止于张家院子，渠道规模1.0*1.2米，总长为8公里。</w:t>
            </w:r>
          </w:p>
        </w:tc>
        <w:tc>
          <w:tcPr>
            <w:tcW w:w="11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021~2023</w:t>
            </w:r>
          </w:p>
        </w:tc>
        <w:tc>
          <w:tcPr>
            <w:tcW w:w="124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r>
              <w:rPr>
                <w:rFonts w:ascii="方正黑体_GBK" w:eastAsia="方正黑体_GBK"/>
                <w:bCs/>
                <w:color w:val="000000" w:themeColor="text1"/>
                <w:kern w:val="0"/>
                <w:szCs w:val="21"/>
              </w:rPr>
              <w:t>200</w:t>
            </w:r>
          </w:p>
        </w:tc>
        <w:tc>
          <w:tcPr>
            <w:tcW w:w="773"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before="0" w:after="0" w:line="580" w:lineRule="exact"/>
        <w:ind w:firstLine="643" w:firstLineChars="200"/>
        <w:rPr>
          <w:rFonts w:ascii="方正黑体_GBK" w:eastAsia="方正黑体_GBK"/>
          <w:b w:val="0"/>
          <w:bCs w:val="0"/>
          <w:color w:val="000000" w:themeColor="text1"/>
          <w:kern w:val="0"/>
        </w:rPr>
      </w:pPr>
      <w:r>
        <w:fldChar w:fldCharType="begin"/>
      </w:r>
      <w:r>
        <w:instrText xml:space="preserve"> HYPERLINK \l "_Toc57993013" </w:instrText>
      </w:r>
      <w:r>
        <w:fldChar w:fldCharType="separate"/>
      </w:r>
      <w:bookmarkStart w:id="96" w:name="_Toc90910503"/>
      <w:r>
        <w:rPr>
          <w:rFonts w:hint="eastAsia" w:ascii="方正黑体_GBK" w:eastAsia="方正黑体_GBK"/>
          <w:b w:val="0"/>
          <w:bCs w:val="0"/>
          <w:color w:val="000000" w:themeColor="text1"/>
          <w:kern w:val="0"/>
        </w:rPr>
        <w:t>三、</w:t>
      </w:r>
      <w:r>
        <w:rPr>
          <w:rFonts w:hint="eastAsia" w:ascii="方正黑体_GBK" w:eastAsia="方正黑体_GBK"/>
          <w:b w:val="0"/>
          <w:bCs w:val="0"/>
          <w:color w:val="000000" w:themeColor="text1"/>
          <w:kern w:val="0"/>
        </w:rPr>
        <w:fldChar w:fldCharType="end"/>
      </w:r>
      <w:r>
        <w:rPr>
          <w:rFonts w:hint="eastAsia" w:ascii="方正黑体_GBK" w:eastAsia="方正黑体_GBK"/>
          <w:b w:val="0"/>
          <w:bCs w:val="0"/>
          <w:color w:val="000000" w:themeColor="text1"/>
          <w:kern w:val="0"/>
        </w:rPr>
        <w:t>提高城市污水处理能力</w:t>
      </w:r>
      <w:bookmarkEnd w:id="96"/>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南川将实现排水基础设施从基本保障向品质化保障提升，水务管理逐步从粗放式向精细化管理提升。按照“新区以雨污分流、厂站建设等为目标导向，建成区以溢流控制、分流改造为导向”，持续推进城镇污水处理厂建设和新建污水管网，加快排水管网雨污分流、漏损管网改造，基本实现污水收集处理设施全覆盖。至2025年，规划污水处理设施建设项目共7项，污水处理能力提升至5000m</w:t>
      </w:r>
      <w:r>
        <w:rPr>
          <w:rFonts w:eastAsia="方正仿宋_GBK"/>
          <w:bCs/>
          <w:color w:val="000000" w:themeColor="text1"/>
          <w:kern w:val="0"/>
          <w:sz w:val="32"/>
          <w:szCs w:val="32"/>
          <w:vertAlign w:val="superscript"/>
        </w:rPr>
        <w:t>3</w:t>
      </w:r>
      <w:r>
        <w:rPr>
          <w:rFonts w:eastAsia="方正仿宋_GBK"/>
          <w:bCs/>
          <w:color w:val="000000" w:themeColor="text1"/>
          <w:kern w:val="0"/>
          <w:sz w:val="32"/>
          <w:szCs w:val="32"/>
        </w:rPr>
        <w:t>/d</w:t>
      </w:r>
      <w:r>
        <w:rPr>
          <w:rFonts w:hint="eastAsia" w:eastAsia="方正仿宋_GBK"/>
          <w:bCs/>
          <w:color w:val="000000" w:themeColor="text1"/>
          <w:kern w:val="0"/>
          <w:sz w:val="32"/>
          <w:szCs w:val="32"/>
        </w:rPr>
        <w:t>，</w:t>
      </w:r>
      <w:r>
        <w:rPr>
          <w:rFonts w:eastAsia="方正仿宋_GBK"/>
          <w:bCs/>
          <w:color w:val="000000" w:themeColor="text1"/>
          <w:kern w:val="0"/>
          <w:sz w:val="32"/>
          <w:szCs w:val="32"/>
        </w:rPr>
        <w:t>新建截污干管总长度32公里，进一步完善城市污水收集设施建设；加大污水管网改造力度，实现中心城区雨污水管网分流改造。项目总投资3.65亿元。道路配套污水管网应根据道路建设时序同步实施。</w:t>
      </w:r>
    </w:p>
    <w:p>
      <w:pPr>
        <w:spacing w:line="580" w:lineRule="exact"/>
        <w:jc w:val="center"/>
        <w:rPr>
          <w:rFonts w:ascii="方正黑体_GBK" w:eastAsia="方正黑体_GBK"/>
          <w:color w:val="000000" w:themeColor="text1"/>
          <w:kern w:val="0"/>
          <w:sz w:val="32"/>
          <w:szCs w:val="32"/>
        </w:rPr>
      </w:pPr>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1</w:t>
      </w:r>
      <w:r>
        <w:rPr>
          <w:rFonts w:hint="eastAsia" w:ascii="方正黑体_GBK" w:eastAsia="方正黑体_GBK"/>
          <w:bCs/>
          <w:color w:val="000000" w:themeColor="text1"/>
          <w:kern w:val="0"/>
          <w:sz w:val="28"/>
          <w:szCs w:val="28"/>
        </w:rPr>
        <w:t>5南川区污水设施建设规划表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010"/>
        <w:gridCol w:w="2431"/>
        <w:gridCol w:w="1357"/>
        <w:gridCol w:w="139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431"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10" w:type="dxa"/>
            <w:vAlign w:val="center"/>
          </w:tcPr>
          <w:p>
            <w:pPr>
              <w:widowControl/>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南川区工业园区龙岩组团污水处理厂二期工程</w:t>
            </w:r>
          </w:p>
        </w:tc>
        <w:tc>
          <w:tcPr>
            <w:tcW w:w="2431" w:type="dxa"/>
            <w:vAlign w:val="center"/>
          </w:tcPr>
          <w:p>
            <w:pPr>
              <w:widowControl/>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日处理能力5000m³污水处理厂1座，占地面积约20亩</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r>
              <w:rPr>
                <w:rFonts w:ascii="方正黑体_GBK" w:eastAsia="方正黑体_GBK"/>
                <w:bCs/>
                <w:color w:val="000000" w:themeColor="text1"/>
                <w:kern w:val="0"/>
                <w:szCs w:val="21"/>
              </w:rPr>
              <w:t>000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010"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凤嘴江城区段西岸截污干管工程</w:t>
            </w:r>
          </w:p>
        </w:tc>
        <w:tc>
          <w:tcPr>
            <w:tcW w:w="243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起于凤嘴江高架桥下河岸侧，接入东城污水处理厂截污干管，管道规模d600~800mm，长约4公里</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021~2023</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r>
              <w:rPr>
                <w:rFonts w:ascii="方正黑体_GBK" w:eastAsia="方正黑体_GBK"/>
                <w:bCs/>
                <w:color w:val="000000" w:themeColor="text1"/>
                <w:kern w:val="0"/>
                <w:szCs w:val="21"/>
              </w:rPr>
              <w:t>000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010"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凤嘴江檬梓林至高架桥段截污干管工程</w:t>
            </w:r>
          </w:p>
        </w:tc>
        <w:tc>
          <w:tcPr>
            <w:tcW w:w="243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起于檬梓林氧化铝厂，接入凤嘴江西岸截污干管，管道规模d600~800mm，长约12公里</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021~2024</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r>
              <w:rPr>
                <w:rFonts w:ascii="方正黑体_GBK" w:eastAsia="方正黑体_GBK"/>
                <w:bCs/>
                <w:color w:val="000000" w:themeColor="text1"/>
                <w:kern w:val="0"/>
                <w:szCs w:val="21"/>
              </w:rPr>
              <w:t>900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龙岩江东岸截污干管工程</w:t>
            </w:r>
          </w:p>
        </w:tc>
        <w:tc>
          <w:tcPr>
            <w:tcW w:w="243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起于东胜粮站、在北固粮站附近，接入二级截污干管，管道规模d600~800mm，长约</w:t>
            </w:r>
            <w:r>
              <w:rPr>
                <w:rFonts w:ascii="方正黑体_GBK" w:eastAsia="方正黑体_GBK"/>
                <w:bCs/>
                <w:color w:val="000000" w:themeColor="text1"/>
                <w:kern w:val="0"/>
                <w:szCs w:val="21"/>
              </w:rPr>
              <w:t>8</w:t>
            </w:r>
            <w:r>
              <w:rPr>
                <w:rFonts w:hint="eastAsia" w:ascii="方正黑体_GBK" w:eastAsia="方正黑体_GBK"/>
                <w:bCs/>
                <w:color w:val="000000" w:themeColor="text1"/>
                <w:kern w:val="0"/>
                <w:szCs w:val="21"/>
              </w:rPr>
              <w:t>公里。</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r>
              <w:rPr>
                <w:rFonts w:ascii="方正黑体_GBK" w:eastAsia="方正黑体_GBK"/>
                <w:bCs/>
                <w:color w:val="000000" w:themeColor="text1"/>
                <w:kern w:val="0"/>
                <w:szCs w:val="21"/>
              </w:rPr>
              <w:t>100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半溪河流域城区污水管混接错接修复改造工程</w:t>
            </w:r>
          </w:p>
        </w:tc>
        <w:tc>
          <w:tcPr>
            <w:tcW w:w="243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主要为北环路、东环路、西大街、三环路合围区域老城区市政排水官网改造修复，管道规模d300~d800mm，总长度约16公里。</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021~2024</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r>
              <w:rPr>
                <w:rFonts w:ascii="方正黑体_GBK" w:eastAsia="方正黑体_GBK"/>
                <w:bCs/>
                <w:color w:val="000000" w:themeColor="text1"/>
                <w:kern w:val="0"/>
                <w:szCs w:val="21"/>
              </w:rPr>
              <w:t>500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凤嘴江流域城区污水管混接错接修复改造</w:t>
            </w:r>
          </w:p>
        </w:tc>
        <w:tc>
          <w:tcPr>
            <w:tcW w:w="243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主要为金川大道、龙济二路、来游路、高速路下道口至转盘、三环路、西大街合围区域城区市政排水管网改造修复，规模d300~d800mm，长约为12公里。</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021~2024</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r>
              <w:rPr>
                <w:rFonts w:ascii="方正黑体_GBK" w:eastAsia="方正黑体_GBK"/>
                <w:bCs/>
                <w:color w:val="000000" w:themeColor="text1"/>
                <w:kern w:val="0"/>
                <w:szCs w:val="21"/>
              </w:rPr>
              <w:t>000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p>
        </w:tc>
        <w:tc>
          <w:tcPr>
            <w:tcW w:w="2010" w:type="dxa"/>
            <w:vAlign w:val="center"/>
          </w:tcPr>
          <w:p>
            <w:pPr>
              <w:widowControl/>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龙岩江流域城区污水管混接错接修复改造</w:t>
            </w:r>
          </w:p>
        </w:tc>
        <w:tc>
          <w:tcPr>
            <w:tcW w:w="243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主要为南大街延伸段、石雷路、银河大道、合围区域城区市政排水管网改造修复，管道规模为d300~d800mm，长约5公里。</w:t>
            </w:r>
          </w:p>
        </w:tc>
        <w:tc>
          <w:tcPr>
            <w:tcW w:w="1357"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021~2024</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r>
              <w:rPr>
                <w:rFonts w:ascii="方正黑体_GBK" w:eastAsia="方正黑体_GBK"/>
                <w:bCs/>
                <w:color w:val="000000" w:themeColor="text1"/>
                <w:kern w:val="0"/>
                <w:szCs w:val="21"/>
              </w:rPr>
              <w:t>000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before="0" w:after="0" w:line="580" w:lineRule="exact"/>
        <w:ind w:firstLine="640" w:firstLineChars="200"/>
        <w:rPr>
          <w:rFonts w:ascii="方正黑体_GBK" w:eastAsia="方正黑体_GBK"/>
          <w:b w:val="0"/>
          <w:color w:val="000000" w:themeColor="text1"/>
          <w:kern w:val="0"/>
        </w:rPr>
      </w:pPr>
      <w:bookmarkStart w:id="97" w:name="_Toc90910504"/>
      <w:r>
        <w:rPr>
          <w:rFonts w:hint="eastAsia" w:ascii="方正黑体_GBK" w:eastAsia="方正黑体_GBK"/>
          <w:b w:val="0"/>
          <w:color w:val="000000" w:themeColor="text1"/>
          <w:kern w:val="0"/>
        </w:rPr>
        <w:t>四、推进环境卫生工程系统建设</w:t>
      </w:r>
      <w:bookmarkEnd w:id="97"/>
    </w:p>
    <w:p>
      <w:pPr>
        <w:spacing w:line="580" w:lineRule="exact"/>
        <w:ind w:firstLine="643" w:firstLineChars="200"/>
        <w:rPr>
          <w:rFonts w:eastAsia="方正仿宋_GBK"/>
          <w:b/>
          <w:bCs/>
          <w:color w:val="000000" w:themeColor="text1"/>
          <w:kern w:val="0"/>
          <w:sz w:val="32"/>
          <w:szCs w:val="32"/>
        </w:rPr>
      </w:pPr>
      <w:r>
        <w:rPr>
          <w:rFonts w:eastAsia="方正仿宋_GBK"/>
          <w:b/>
          <w:bCs/>
          <w:color w:val="000000" w:themeColor="text1"/>
          <w:kern w:val="0"/>
          <w:sz w:val="32"/>
          <w:szCs w:val="32"/>
        </w:rPr>
        <w:t>1</w:t>
      </w:r>
      <w:r>
        <w:rPr>
          <w:rFonts w:hint="eastAsia" w:eastAsia="方正仿宋_GBK"/>
          <w:b/>
          <w:bCs/>
          <w:color w:val="000000" w:themeColor="text1"/>
          <w:kern w:val="0"/>
          <w:sz w:val="32"/>
          <w:szCs w:val="32"/>
        </w:rPr>
        <w:t>.</w:t>
      </w:r>
      <w:r>
        <w:rPr>
          <w:rFonts w:eastAsia="方正仿宋_GBK"/>
          <w:b/>
          <w:bCs/>
          <w:color w:val="000000" w:themeColor="text1"/>
          <w:kern w:val="0"/>
          <w:sz w:val="32"/>
          <w:szCs w:val="32"/>
        </w:rPr>
        <w:t>垃圾处理设施</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加强城市资源循环设施建设，构建生态、可持续固废全过程管理体系。建立以焚烧发电资源利用为主、卫生填埋无害化处理与应急处置为辅的多种垃圾处理方式，完善垃圾收运系统和处理过程污染控制，提高城市垃圾处理能力，不断改善城镇人居环境。加快生活垃圾分类投放、分类收集、分类运输、分类处理设施建设，落实新建住宅项目生活垃圾分类收集厢房规划建设，推进城市更新住宅项目收集厢房升级改造，完善源头收集关口，补齐处理能力缺口，补齐处理能力缺口，健全环境基础设施，完善城市管理公共服务，建成与经济社会发展相适应的生活垃圾分类和处理体系，全面提升全区生活垃圾减量化、资源化、无害化处理水平。</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到2025年，南川城区规划环卫设施建设项目共6个，其中新建生活垃圾二次转运站1座，升级改造片区压缩站7座，新建垃圾运转站（点）3座、环卫停车场1座、建筑垃圾消纳场1座、大件垃圾处置场1座。总投资为4.43亿元。</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表3-16南川区垃圾处理设施建设规划表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37"/>
        <w:gridCol w:w="3118"/>
        <w:gridCol w:w="1421"/>
        <w:gridCol w:w="121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63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311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21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56" w:type="dxa"/>
            <w:vMerge w:val="restart"/>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637" w:type="dxa"/>
            <w:vMerge w:val="restart"/>
            <w:vAlign w:val="center"/>
          </w:tcPr>
          <w:p>
            <w:pPr>
              <w:widowControl/>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城乡垃圾收运系统项目</w:t>
            </w:r>
          </w:p>
        </w:tc>
        <w:tc>
          <w:tcPr>
            <w:tcW w:w="3118" w:type="dxa"/>
            <w:vAlign w:val="center"/>
          </w:tcPr>
          <w:p>
            <w:pPr>
              <w:widowControl/>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新建垃圾运转站（点）3座</w:t>
            </w:r>
          </w:p>
        </w:tc>
        <w:tc>
          <w:tcPr>
            <w:tcW w:w="1421" w:type="dxa"/>
            <w:vMerge w:val="restart"/>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w:t>
            </w: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~202</w:t>
            </w:r>
            <w:r>
              <w:rPr>
                <w:rFonts w:hint="eastAsia" w:ascii="方正黑体_GBK" w:eastAsia="方正黑体_GBK"/>
                <w:bCs/>
                <w:color w:val="000000" w:themeColor="text1"/>
                <w:kern w:val="0"/>
                <w:szCs w:val="21"/>
              </w:rPr>
              <w:t>5</w:t>
            </w:r>
          </w:p>
        </w:tc>
        <w:tc>
          <w:tcPr>
            <w:tcW w:w="1214" w:type="dxa"/>
            <w:vMerge w:val="restart"/>
            <w:vAlign w:val="center"/>
          </w:tcPr>
          <w:p>
            <w:pPr>
              <w:widowControl/>
              <w:snapToGrid w:val="0"/>
              <w:spacing w:line="40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25797</w:t>
            </w:r>
          </w:p>
        </w:tc>
        <w:tc>
          <w:tcPr>
            <w:tcW w:w="741" w:type="dxa"/>
            <w:vMerge w:val="restart"/>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56"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1637"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311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改造片区压缩站7座</w:t>
            </w:r>
          </w:p>
        </w:tc>
        <w:tc>
          <w:tcPr>
            <w:tcW w:w="1421"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1214"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741" w:type="dxa"/>
            <w:vMerge w:val="continue"/>
            <w:vAlign w:val="center"/>
          </w:tcPr>
          <w:p>
            <w:pPr>
              <w:snapToGrid w:val="0"/>
              <w:spacing w:line="400" w:lineRule="exact"/>
              <w:jc w:val="center"/>
              <w:rPr>
                <w:rFonts w:ascii="方正黑体_GBK" w:eastAsia="方正黑体_GBK"/>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6"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1637"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311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新建生活垃圾二次转运站1座</w:t>
            </w:r>
          </w:p>
        </w:tc>
        <w:tc>
          <w:tcPr>
            <w:tcW w:w="1421"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1214"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741" w:type="dxa"/>
            <w:vMerge w:val="continue"/>
            <w:vAlign w:val="center"/>
          </w:tcPr>
          <w:p>
            <w:pPr>
              <w:snapToGrid w:val="0"/>
              <w:spacing w:line="400" w:lineRule="exact"/>
              <w:jc w:val="center"/>
              <w:rPr>
                <w:rFonts w:ascii="方正黑体_GBK" w:eastAsia="方正黑体_GBK"/>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56"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1637"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311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新增洗扫车、垃圾清运车、洒水车、垃圾房、水平压缩箱体、垃圾箱体等设施</w:t>
            </w:r>
          </w:p>
        </w:tc>
        <w:tc>
          <w:tcPr>
            <w:tcW w:w="1421"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1214" w:type="dxa"/>
            <w:vMerge w:val="continue"/>
            <w:vAlign w:val="center"/>
          </w:tcPr>
          <w:p>
            <w:pPr>
              <w:snapToGrid w:val="0"/>
              <w:spacing w:line="400" w:lineRule="exact"/>
              <w:jc w:val="center"/>
              <w:rPr>
                <w:rFonts w:ascii="方正黑体_GBK" w:eastAsia="方正黑体_GBK"/>
                <w:bCs/>
                <w:color w:val="000000" w:themeColor="text1"/>
                <w:kern w:val="0"/>
                <w:szCs w:val="21"/>
              </w:rPr>
            </w:pPr>
          </w:p>
        </w:tc>
        <w:tc>
          <w:tcPr>
            <w:tcW w:w="741" w:type="dxa"/>
            <w:vMerge w:val="continue"/>
            <w:vAlign w:val="center"/>
          </w:tcPr>
          <w:p>
            <w:pPr>
              <w:snapToGrid w:val="0"/>
              <w:spacing w:line="400" w:lineRule="exact"/>
              <w:jc w:val="center"/>
              <w:rPr>
                <w:rFonts w:ascii="方正黑体_GBK" w:eastAsia="方正黑体_GBK"/>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56" w:type="dxa"/>
            <w:vAlign w:val="center"/>
          </w:tcPr>
          <w:p>
            <w:pPr>
              <w:snapToGrid w:val="0"/>
              <w:spacing w:line="400" w:lineRule="exact"/>
              <w:jc w:val="center"/>
              <w:rPr>
                <w:rFonts w:cs="宋体" w:asciiTheme="majorEastAsia" w:hAnsiTheme="majorEastAsia" w:eastAsiaTheme="majorEastAsia"/>
                <w:color w:val="000000" w:themeColor="text1"/>
                <w:kern w:val="0"/>
                <w:szCs w:val="21"/>
              </w:rPr>
            </w:pPr>
            <w:r>
              <w:rPr>
                <w:rFonts w:ascii="方正黑体_GBK" w:eastAsia="方正黑体_GBK"/>
                <w:bCs/>
                <w:color w:val="000000" w:themeColor="text1"/>
                <w:kern w:val="0"/>
                <w:szCs w:val="21"/>
              </w:rPr>
              <w:t>2</w:t>
            </w:r>
          </w:p>
        </w:tc>
        <w:tc>
          <w:tcPr>
            <w:tcW w:w="163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垃圾处理</w:t>
            </w:r>
          </w:p>
        </w:tc>
        <w:tc>
          <w:tcPr>
            <w:tcW w:w="311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新建设环卫停车场1座；新建建筑垃圾消纳场1座；大件垃圾处置场1座</w:t>
            </w:r>
          </w:p>
        </w:tc>
        <w:tc>
          <w:tcPr>
            <w:tcW w:w="142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214"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18500</w:t>
            </w:r>
          </w:p>
        </w:tc>
        <w:tc>
          <w:tcPr>
            <w:tcW w:w="7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spacing w:line="580" w:lineRule="exact"/>
        <w:ind w:firstLine="643" w:firstLineChars="200"/>
        <w:rPr>
          <w:rFonts w:eastAsia="方正仿宋_GBK"/>
          <w:b/>
          <w:bCs/>
          <w:color w:val="000000" w:themeColor="text1"/>
          <w:kern w:val="0"/>
          <w:sz w:val="32"/>
          <w:szCs w:val="32"/>
        </w:rPr>
      </w:pPr>
      <w:r>
        <w:rPr>
          <w:rFonts w:eastAsia="方正仿宋_GBK"/>
          <w:b/>
          <w:bCs/>
          <w:color w:val="000000" w:themeColor="text1"/>
          <w:kern w:val="0"/>
          <w:sz w:val="32"/>
          <w:szCs w:val="32"/>
        </w:rPr>
        <w:t>2.公共厕所设施</w:t>
      </w:r>
    </w:p>
    <w:p>
      <w:pPr>
        <w:spacing w:line="580" w:lineRule="exact"/>
        <w:ind w:firstLine="640" w:firstLineChars="200"/>
        <w:rPr>
          <w:rFonts w:ascii="方正黑体_GBK" w:eastAsia="方正黑体_GBK"/>
          <w:bCs/>
          <w:color w:val="000000" w:themeColor="text1"/>
          <w:kern w:val="0"/>
          <w:sz w:val="32"/>
          <w:szCs w:val="32"/>
        </w:rPr>
      </w:pPr>
      <w:r>
        <w:rPr>
          <w:rFonts w:eastAsia="方正仿宋_GBK"/>
          <w:bCs/>
          <w:color w:val="000000" w:themeColor="text1"/>
          <w:kern w:val="0"/>
          <w:sz w:val="32"/>
          <w:szCs w:val="32"/>
        </w:rPr>
        <w:t>推进南川“公厕革命”，完善城区公共厕所建设。至2025年，解决公厕有效落地，逐年增加城市公共厕所数量，南川城区新建公共厕所</w:t>
      </w:r>
      <w:r>
        <w:rPr>
          <w:rFonts w:hint="eastAsia" w:eastAsia="方正仿宋_GBK"/>
          <w:bCs/>
          <w:color w:val="000000" w:themeColor="text1"/>
          <w:kern w:val="0"/>
          <w:sz w:val="32"/>
          <w:szCs w:val="32"/>
        </w:rPr>
        <w:t>15</w:t>
      </w:r>
      <w:r>
        <w:rPr>
          <w:rFonts w:eastAsia="方正仿宋_GBK"/>
          <w:bCs/>
          <w:color w:val="000000" w:themeColor="text1"/>
          <w:kern w:val="0"/>
          <w:sz w:val="32"/>
          <w:szCs w:val="32"/>
        </w:rPr>
        <w:t>座，改建公共厕所</w:t>
      </w:r>
      <w:r>
        <w:rPr>
          <w:rFonts w:hint="eastAsia" w:eastAsia="方正仿宋_GBK"/>
          <w:bCs/>
          <w:color w:val="000000" w:themeColor="text1"/>
          <w:kern w:val="0"/>
          <w:sz w:val="32"/>
          <w:szCs w:val="32"/>
        </w:rPr>
        <w:t>15</w:t>
      </w:r>
      <w:r>
        <w:rPr>
          <w:rFonts w:eastAsia="方正仿宋_GBK"/>
          <w:bCs/>
          <w:color w:val="000000" w:themeColor="text1"/>
          <w:kern w:val="0"/>
          <w:sz w:val="32"/>
          <w:szCs w:val="32"/>
        </w:rPr>
        <w:t>座，在城市建设和旧城改造中对公厕做好规划布局，总投资为2000万元。</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表3-17南川区公共厕所设施建设规划表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37"/>
        <w:gridCol w:w="3093"/>
        <w:gridCol w:w="1446"/>
        <w:gridCol w:w="121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637"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3093"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46"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214"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41"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637"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城市公共厕所设施项目</w:t>
            </w:r>
          </w:p>
        </w:tc>
        <w:tc>
          <w:tcPr>
            <w:tcW w:w="3093"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结合新城开发、旧城改造等新开发项目规划配套建设公共厕所15座，对现有官堰桥公厕、动步游园公厕、渚堰塘公厕、皂角井公厕等15座公共厕所实施升级改造。</w:t>
            </w:r>
          </w:p>
        </w:tc>
        <w:tc>
          <w:tcPr>
            <w:tcW w:w="1446"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1214"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2000</w:t>
            </w:r>
          </w:p>
        </w:tc>
        <w:tc>
          <w:tcPr>
            <w:tcW w:w="741" w:type="dxa"/>
            <w:vAlign w:val="center"/>
          </w:tcPr>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p>
            <w:pPr>
              <w:snapToGrid w:val="0"/>
              <w:spacing w:line="5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改建</w:t>
            </w:r>
          </w:p>
        </w:tc>
      </w:tr>
    </w:tbl>
    <w:p>
      <w:pPr>
        <w:pStyle w:val="4"/>
        <w:spacing w:line="580" w:lineRule="exact"/>
        <w:jc w:val="center"/>
        <w:rPr>
          <w:rFonts w:ascii="方正黑体_GBK" w:eastAsia="方正黑体_GBK"/>
          <w:b w:val="0"/>
          <w:bCs w:val="0"/>
          <w:color w:val="000000" w:themeColor="text1"/>
          <w:kern w:val="0"/>
        </w:rPr>
      </w:pPr>
      <w:r>
        <w:fldChar w:fldCharType="begin"/>
      </w:r>
      <w:r>
        <w:instrText xml:space="preserve"> HYPERLINK \l "_Toc57993014" </w:instrText>
      </w:r>
      <w:r>
        <w:fldChar w:fldCharType="separate"/>
      </w:r>
      <w:bookmarkStart w:id="98" w:name="_Toc90910505"/>
      <w:r>
        <w:rPr>
          <w:rFonts w:hint="eastAsia" w:ascii="方正黑体_GBK" w:eastAsia="方正黑体_GBK"/>
          <w:b w:val="0"/>
          <w:bCs w:val="0"/>
          <w:color w:val="000000" w:themeColor="text1"/>
          <w:kern w:val="0"/>
        </w:rPr>
        <w:t>第四节 全面提升城市品质及生活环境</w:t>
      </w:r>
      <w:bookmarkEnd w:id="98"/>
      <w:r>
        <w:rPr>
          <w:rFonts w:hint="eastAsia" w:ascii="方正黑体_GBK" w:eastAsia="方正黑体_GBK"/>
          <w:b w:val="0"/>
          <w:bCs w:val="0"/>
          <w:color w:val="000000" w:themeColor="text1"/>
          <w:kern w:val="0"/>
        </w:rPr>
        <w:fldChar w:fldCharType="end"/>
      </w:r>
    </w:p>
    <w:p>
      <w:pPr>
        <w:pStyle w:val="5"/>
        <w:spacing w:before="0" w:after="0" w:line="580" w:lineRule="exact"/>
        <w:ind w:firstLine="643" w:firstLineChars="200"/>
        <w:rPr>
          <w:rFonts w:ascii="方正黑体_GBK" w:hAnsi="方正黑体_GBK" w:eastAsia="方正黑体_GBK" w:cs="方正黑体_GBK"/>
          <w:b w:val="0"/>
          <w:bCs w:val="0"/>
          <w:color w:val="000000" w:themeColor="text1"/>
          <w:kern w:val="0"/>
        </w:rPr>
      </w:pPr>
      <w:r>
        <w:fldChar w:fldCharType="begin"/>
      </w:r>
      <w:r>
        <w:instrText xml:space="preserve"> HYPERLINK \l "_Toc57993015" </w:instrText>
      </w:r>
      <w:r>
        <w:fldChar w:fldCharType="separate"/>
      </w:r>
      <w:bookmarkStart w:id="99" w:name="_Toc90910506"/>
      <w:r>
        <w:rPr>
          <w:rFonts w:hint="eastAsia" w:ascii="方正黑体_GBK" w:hAnsi="方正黑体_GBK" w:eastAsia="方正黑体_GBK" w:cs="方正黑体_GBK"/>
          <w:b w:val="0"/>
          <w:bCs w:val="0"/>
          <w:color w:val="000000" w:themeColor="text1"/>
          <w:kern w:val="0"/>
        </w:rPr>
        <w:t>一、</w:t>
      </w:r>
      <w:r>
        <w:rPr>
          <w:rFonts w:hint="eastAsia" w:ascii="方正黑体_GBK" w:hAnsi="方正黑体_GBK" w:eastAsia="方正黑体_GBK" w:cs="方正黑体_GBK"/>
          <w:b w:val="0"/>
          <w:bCs w:val="0"/>
          <w:color w:val="000000" w:themeColor="text1"/>
          <w:kern w:val="0"/>
        </w:rPr>
        <w:fldChar w:fldCharType="end"/>
      </w:r>
      <w:r>
        <w:rPr>
          <w:rFonts w:hint="eastAsia" w:ascii="方正黑体_GBK" w:hAnsi="方正黑体_GBK" w:eastAsia="方正黑体_GBK" w:cs="方正黑体_GBK"/>
          <w:b w:val="0"/>
          <w:bCs w:val="0"/>
          <w:color w:val="000000" w:themeColor="text1"/>
          <w:kern w:val="0"/>
        </w:rPr>
        <w:t>打造自然循环的“海绵城市”</w:t>
      </w:r>
      <w:bookmarkEnd w:id="99"/>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统筹兼顾生态环境保护和城市发展目标，将海绵城市建设理念贯穿城市规划、建设和管理的全过程，将南川区打造成为水安全保障完善、水环境质量优良、水生态系统完整、水资源综合利用、水文化丰富的海绵城市，为完成2030年海绵城市建成区目标奠定良好基础。</w:t>
      </w:r>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结合片区铺装更新、路面改造，在老城区逐步引入海绵元素，以点串线，以线画面，解决老城区径流污染及大面积硬化问题。新城区以目标为导向，优先保护自然生态，综合平衡自然生态保护、城市发展、经济投入，提升海绵城市建设综合效益。统筹发挥自然生态功能和人工干预功能，以源头减量为重点，结合过程控制和末端治理，形成完善的雨水综合管理体系。</w:t>
      </w:r>
    </w:p>
    <w:p>
      <w:pPr>
        <w:spacing w:line="580" w:lineRule="exact"/>
        <w:ind w:firstLine="480" w:firstLineChars="150"/>
        <w:rPr>
          <w:rFonts w:eastAsia="方正仿宋_GBK"/>
          <w:bCs/>
          <w:color w:val="000000" w:themeColor="text1"/>
          <w:kern w:val="0"/>
          <w:sz w:val="32"/>
          <w:szCs w:val="32"/>
        </w:rPr>
      </w:pPr>
      <w:r>
        <w:rPr>
          <w:rFonts w:eastAsia="方正仿宋_GBK"/>
          <w:bCs/>
          <w:color w:val="000000" w:themeColor="text1"/>
          <w:kern w:val="0"/>
          <w:sz w:val="32"/>
          <w:szCs w:val="32"/>
        </w:rPr>
        <w:t>到2025年，南川区将重点结合房地产开发项目、市政道路、公园绿地建设，计划推进海绵城市建设项目</w:t>
      </w:r>
      <w:r>
        <w:rPr>
          <w:rFonts w:hint="eastAsia" w:eastAsia="方正仿宋_GBK"/>
          <w:bCs/>
          <w:color w:val="000000" w:themeColor="text1"/>
          <w:kern w:val="0"/>
          <w:sz w:val="32"/>
          <w:szCs w:val="32"/>
        </w:rPr>
        <w:t>8</w:t>
      </w:r>
      <w:r>
        <w:rPr>
          <w:rFonts w:eastAsia="方正仿宋_GBK"/>
          <w:bCs/>
          <w:color w:val="000000" w:themeColor="text1"/>
          <w:kern w:val="0"/>
          <w:sz w:val="32"/>
          <w:szCs w:val="32"/>
        </w:rPr>
        <w:t>项。完成渝南大道延伸路（二期）建设工程、南川区龚家塘至六角楼片区路网改造工程以及公园项目的低影响开发工程建设，实施透水铺装、雨水花园和植草沟等海绵设施。海绵建设总投资包含于公园及道路建设项目，不单独计算。</w:t>
      </w:r>
    </w:p>
    <w:p>
      <w:pPr>
        <w:spacing w:line="580" w:lineRule="exact"/>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1</w:t>
      </w:r>
      <w:r>
        <w:rPr>
          <w:rFonts w:hint="eastAsia" w:ascii="方正黑体_GBK" w:eastAsia="方正黑体_GBK"/>
          <w:bCs/>
          <w:color w:val="000000" w:themeColor="text1"/>
          <w:kern w:val="0"/>
          <w:sz w:val="28"/>
          <w:szCs w:val="28"/>
        </w:rPr>
        <w:t>8南川区海绵城市建设规划表</w:t>
      </w:r>
    </w:p>
    <w:tbl>
      <w:tblPr>
        <w:tblStyle w:val="1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010"/>
        <w:gridCol w:w="2585"/>
        <w:gridCol w:w="1420"/>
        <w:gridCol w:w="11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585"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渝南大道延伸路（二期）建设工程海绵城市专项设计</w:t>
            </w:r>
          </w:p>
        </w:tc>
        <w:tc>
          <w:tcPr>
            <w:tcW w:w="2585"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道路1.5公里、宽40米，建设生物滞留带、透水铺装等海绵设施</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022~2023</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南川区龚家塘至六角楼片区路网改造工程</w:t>
            </w:r>
          </w:p>
        </w:tc>
        <w:tc>
          <w:tcPr>
            <w:tcW w:w="2585"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改造及新建道路7条，共5331米，同步建设生物滞留带、透水铺装等海绵设施</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w:t>
            </w:r>
            <w:r>
              <w:rPr>
                <w:rFonts w:ascii="方正黑体_GBK" w:eastAsia="方正黑体_GBK"/>
                <w:bCs/>
                <w:color w:val="000000" w:themeColor="text1"/>
                <w:kern w:val="0"/>
                <w:szCs w:val="21"/>
              </w:rPr>
              <w:t>2</w:t>
            </w:r>
            <w:r>
              <w:rPr>
                <w:rFonts w:hint="eastAsia" w:ascii="方正黑体_GBK" w:eastAsia="方正黑体_GBK"/>
                <w:bCs/>
                <w:color w:val="000000" w:themeColor="text1"/>
                <w:kern w:val="0"/>
                <w:szCs w:val="21"/>
              </w:rPr>
              <w:t>-2023</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010" w:type="dxa"/>
            <w:vAlign w:val="center"/>
          </w:tcPr>
          <w:p>
            <w:pPr>
              <w:widowControl/>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重庆市南川区金华体育公园建设项目</w:t>
            </w:r>
          </w:p>
        </w:tc>
        <w:tc>
          <w:tcPr>
            <w:tcW w:w="2585" w:type="dxa"/>
            <w:vAlign w:val="center"/>
          </w:tcPr>
          <w:p>
            <w:pPr>
              <w:widowControl/>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绿化给排水、景观配套设施、运动设施、休憩设施、景观照明系统、文化小品等。</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w:t>
            </w: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~202</w:t>
            </w:r>
            <w:r>
              <w:rPr>
                <w:rFonts w:hint="eastAsia" w:ascii="方正黑体_GBK" w:eastAsia="方正黑体_GBK"/>
                <w:bCs/>
                <w:color w:val="000000" w:themeColor="text1"/>
                <w:kern w:val="0"/>
                <w:szCs w:val="21"/>
              </w:rPr>
              <w:t>4</w:t>
            </w:r>
          </w:p>
        </w:tc>
        <w:tc>
          <w:tcPr>
            <w:tcW w:w="1182" w:type="dxa"/>
            <w:vAlign w:val="center"/>
          </w:tcPr>
          <w:p>
            <w:pPr>
              <w:widowControl/>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重庆市南川区商贸物流园区连接干道景观工程建设项目</w:t>
            </w:r>
          </w:p>
        </w:tc>
        <w:tc>
          <w:tcPr>
            <w:tcW w:w="2585"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占地面积约69亩。项目起于半溪口，止于东胜工业园区大道口，全长3.9公里，沿南川区商贸物流园区连接干道新建道路两侧绿化带4.6公顷，建设内容包括绿化工程、景观配套设施、文化小品、景观照明等。</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w:t>
            </w:r>
            <w:r>
              <w:rPr>
                <w:rFonts w:hint="eastAsia" w:ascii="方正黑体_GBK" w:eastAsia="方正黑体_GBK"/>
                <w:bCs/>
                <w:color w:val="000000" w:themeColor="text1"/>
                <w:kern w:val="0"/>
                <w:szCs w:val="21"/>
              </w:rPr>
              <w:t>3</w:t>
            </w:r>
            <w:r>
              <w:rPr>
                <w:rFonts w:ascii="方正黑体_GBK" w:eastAsia="方正黑体_GBK"/>
                <w:bCs/>
                <w:color w:val="000000" w:themeColor="text1"/>
                <w:kern w:val="0"/>
                <w:szCs w:val="21"/>
              </w:rPr>
              <w:t>~202</w:t>
            </w:r>
            <w:r>
              <w:rPr>
                <w:rFonts w:hint="eastAsia" w:ascii="方正黑体_GBK" w:eastAsia="方正黑体_GBK"/>
                <w:bCs/>
                <w:color w:val="000000" w:themeColor="text1"/>
                <w:kern w:val="0"/>
                <w:szCs w:val="21"/>
              </w:rPr>
              <w:t>5</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来游公园</w:t>
            </w:r>
          </w:p>
        </w:tc>
        <w:tc>
          <w:tcPr>
            <w:tcW w:w="2585" w:type="dxa"/>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2.14公顷，建设绿化、道路、休闲设施等</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1100</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6</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九鼎山公园</w:t>
            </w:r>
          </w:p>
        </w:tc>
        <w:tc>
          <w:tcPr>
            <w:tcW w:w="2585" w:type="dxa"/>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26.72公顷，建设绿化、道路、休闲设施等</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8016</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高铁新城文化体育公园</w:t>
            </w:r>
          </w:p>
        </w:tc>
        <w:tc>
          <w:tcPr>
            <w:tcW w:w="2585" w:type="dxa"/>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沿渝湘高铁周边，打造占地约100亩集文化、旅游、休闲、娱乐、健身多功能一体的文化体育公园。</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15000</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凤嘴江滨河公园</w:t>
            </w:r>
          </w:p>
        </w:tc>
        <w:tc>
          <w:tcPr>
            <w:tcW w:w="2585" w:type="dxa"/>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74.97公顷，建设绿化、道路、休闲设施等</w:t>
            </w:r>
          </w:p>
        </w:tc>
        <w:tc>
          <w:tcPr>
            <w:tcW w:w="142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1182"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22491</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改扩建</w:t>
            </w:r>
          </w:p>
        </w:tc>
      </w:tr>
    </w:tbl>
    <w:p>
      <w:pPr>
        <w:pStyle w:val="5"/>
        <w:spacing w:before="0" w:after="0" w:line="580" w:lineRule="exact"/>
        <w:ind w:firstLine="643" w:firstLineChars="200"/>
        <w:rPr>
          <w:rFonts w:ascii="方正黑体_GBK" w:eastAsia="方正黑体_GBK"/>
          <w:b w:val="0"/>
          <w:bCs w:val="0"/>
          <w:color w:val="000000" w:themeColor="text1"/>
          <w:kern w:val="0"/>
        </w:rPr>
      </w:pPr>
      <w:r>
        <w:fldChar w:fldCharType="begin"/>
      </w:r>
      <w:r>
        <w:instrText xml:space="preserve"> HYPERLINK \l "_Toc57993016" </w:instrText>
      </w:r>
      <w:r>
        <w:fldChar w:fldCharType="separate"/>
      </w:r>
      <w:bookmarkStart w:id="100" w:name="_Toc90910507"/>
      <w:r>
        <w:rPr>
          <w:rFonts w:hint="eastAsia" w:ascii="方正黑体_GBK" w:eastAsia="方正黑体_GBK"/>
          <w:b w:val="0"/>
          <w:bCs w:val="0"/>
          <w:color w:val="000000" w:themeColor="text1"/>
          <w:kern w:val="0"/>
        </w:rPr>
        <w:t>二、</w:t>
      </w:r>
      <w:r>
        <w:rPr>
          <w:rFonts w:hint="eastAsia" w:ascii="方正黑体_GBK" w:eastAsia="方正黑体_GBK"/>
          <w:b w:val="0"/>
          <w:bCs w:val="0"/>
          <w:color w:val="000000" w:themeColor="text1"/>
          <w:kern w:val="0"/>
        </w:rPr>
        <w:fldChar w:fldCharType="end"/>
      </w:r>
      <w:r>
        <w:rPr>
          <w:rFonts w:hint="eastAsia" w:ascii="方正黑体_GBK" w:eastAsia="方正黑体_GBK"/>
          <w:b w:val="0"/>
          <w:bCs w:val="0"/>
          <w:color w:val="000000" w:themeColor="text1"/>
          <w:kern w:val="0"/>
        </w:rPr>
        <w:t>建设集约高效的城市综合管廊</w:t>
      </w:r>
      <w:bookmarkEnd w:id="100"/>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坚持“多规合一”的原则，根据国土空间总体规划、城市地下空间开发利用规划以及道路交通、管线等专业规划，结合城市发展内在需求，秉持因地制宜和实用性原则，优化“干线、支线、缆线”管廊供给结构，形成“成网成片”的管廊规划布局，系统性推进管廊规划建设。逐步提高城市道路配建地下综合管廊的比例，逐步解决“马路拉链”、“空中蛛网”、管线事故等问题，提高城市综合承载能力。</w:t>
      </w:r>
    </w:p>
    <w:p>
      <w:pPr>
        <w:spacing w:line="580" w:lineRule="exact"/>
        <w:ind w:firstLine="640" w:firstLineChars="200"/>
        <w:rPr>
          <w:rFonts w:eastAsia="方正仿宋_GBK"/>
          <w:color w:val="000000" w:themeColor="text1"/>
          <w:kern w:val="0"/>
          <w:sz w:val="32"/>
          <w:szCs w:val="32"/>
        </w:rPr>
      </w:pPr>
      <w:r>
        <w:rPr>
          <w:rFonts w:hint="eastAsia" w:eastAsia="方正仿宋_GBK"/>
          <w:color w:val="000000" w:themeColor="text1"/>
          <w:kern w:val="0"/>
          <w:sz w:val="32"/>
          <w:szCs w:val="32"/>
          <w:lang w:eastAsia="zh-CN"/>
        </w:rPr>
        <w:t>“</w:t>
      </w:r>
      <w:r>
        <w:rPr>
          <w:rFonts w:eastAsia="方正仿宋_GBK"/>
          <w:color w:val="000000" w:themeColor="text1"/>
          <w:kern w:val="0"/>
          <w:sz w:val="32"/>
          <w:szCs w:val="32"/>
        </w:rPr>
        <w:t>十四五</w:t>
      </w:r>
      <w:r>
        <w:rPr>
          <w:rFonts w:hint="eastAsia" w:eastAsia="方正仿宋_GBK"/>
          <w:color w:val="000000" w:themeColor="text1"/>
          <w:kern w:val="0"/>
          <w:sz w:val="32"/>
          <w:szCs w:val="32"/>
          <w:lang w:eastAsia="zh-CN"/>
        </w:rPr>
        <w:t>”</w:t>
      </w:r>
      <w:r>
        <w:rPr>
          <w:rFonts w:eastAsia="方正仿宋_GBK"/>
          <w:color w:val="000000" w:themeColor="text1"/>
          <w:kern w:val="0"/>
          <w:sz w:val="32"/>
          <w:szCs w:val="32"/>
        </w:rPr>
        <w:t xml:space="preserve">期间，围绕南川重点开发区域，持续开展管廊建设，初步形成“一环三射多支线”的管廊布局，在老城区结合立体交通设施建设、地下空间开发、管线增设扩容、缆线下地等有序推进管廊建设。至2025年，规划重点建设综合管廊（含缆线管廊）项目共 </w:t>
      </w:r>
      <w:r>
        <w:rPr>
          <w:rFonts w:hint="eastAsia" w:eastAsia="方正仿宋_GBK"/>
          <w:color w:val="000000" w:themeColor="text1"/>
          <w:kern w:val="0"/>
          <w:sz w:val="32"/>
          <w:szCs w:val="32"/>
        </w:rPr>
        <w:t>3</w:t>
      </w:r>
      <w:r>
        <w:rPr>
          <w:rFonts w:eastAsia="方正仿宋_GBK"/>
          <w:color w:val="000000" w:themeColor="text1"/>
          <w:kern w:val="0"/>
          <w:sz w:val="32"/>
          <w:szCs w:val="32"/>
        </w:rPr>
        <w:t>项，总投资约</w:t>
      </w:r>
      <w:r>
        <w:rPr>
          <w:rFonts w:hint="eastAsia" w:eastAsia="方正仿宋_GBK"/>
          <w:color w:val="000000" w:themeColor="text1"/>
          <w:kern w:val="0"/>
          <w:sz w:val="32"/>
          <w:szCs w:val="32"/>
        </w:rPr>
        <w:t>4.53</w:t>
      </w:r>
      <w:r>
        <w:rPr>
          <w:rFonts w:eastAsia="方正仿宋_GBK"/>
          <w:color w:val="000000" w:themeColor="text1"/>
          <w:kern w:val="0"/>
          <w:sz w:val="32"/>
          <w:szCs w:val="32"/>
        </w:rPr>
        <w:t>亿元。</w:t>
      </w:r>
    </w:p>
    <w:p>
      <w:pPr>
        <w:spacing w:line="580" w:lineRule="exact"/>
        <w:ind w:firstLine="640" w:firstLineChars="200"/>
        <w:rPr>
          <w:rFonts w:ascii="方正黑体_GBK" w:eastAsia="方正黑体_GBK"/>
          <w:color w:val="000000" w:themeColor="text1"/>
          <w:kern w:val="0"/>
          <w:sz w:val="32"/>
          <w:szCs w:val="32"/>
        </w:rPr>
      </w:pPr>
      <w:r>
        <w:rPr>
          <w:rFonts w:eastAsia="方正仿宋_GBK"/>
          <w:color w:val="000000" w:themeColor="text1"/>
          <w:kern w:val="0"/>
          <w:sz w:val="32"/>
          <w:szCs w:val="32"/>
        </w:rPr>
        <w:t>建设综合管廊总长度</w:t>
      </w:r>
      <w:r>
        <w:rPr>
          <w:rFonts w:hint="eastAsia" w:eastAsia="方正仿宋_GBK"/>
          <w:color w:val="000000" w:themeColor="text1"/>
          <w:kern w:val="0"/>
          <w:sz w:val="32"/>
          <w:szCs w:val="32"/>
        </w:rPr>
        <w:t>6.32</w:t>
      </w:r>
      <w:r>
        <w:rPr>
          <w:rFonts w:eastAsia="方正仿宋_GBK"/>
          <w:color w:val="000000" w:themeColor="text1"/>
          <w:kern w:val="0"/>
          <w:sz w:val="32"/>
          <w:szCs w:val="32"/>
        </w:rPr>
        <w:t>公里。其中东环路综合管廊长度为1.323公里</w:t>
      </w:r>
      <w:r>
        <w:rPr>
          <w:rFonts w:hint="eastAsia" w:eastAsia="方正仿宋_GBK"/>
          <w:color w:val="000000" w:themeColor="text1"/>
          <w:kern w:val="0"/>
          <w:sz w:val="32"/>
          <w:szCs w:val="32"/>
        </w:rPr>
        <w:t>, 北</w:t>
      </w:r>
      <w:r>
        <w:rPr>
          <w:rFonts w:eastAsia="方正仿宋_GBK"/>
          <w:color w:val="000000" w:themeColor="text1"/>
          <w:kern w:val="0"/>
          <w:sz w:val="32"/>
          <w:szCs w:val="32"/>
        </w:rPr>
        <w:t>环路综合管廊长度为1公里</w:t>
      </w:r>
      <w:r>
        <w:rPr>
          <w:rFonts w:hint="eastAsia" w:eastAsia="方正仿宋_GBK"/>
          <w:color w:val="000000" w:themeColor="text1"/>
          <w:kern w:val="0"/>
          <w:sz w:val="32"/>
          <w:szCs w:val="32"/>
        </w:rPr>
        <w:t>，南大街综合管廊</w:t>
      </w:r>
      <w:r>
        <w:rPr>
          <w:rFonts w:eastAsia="方正仿宋_GBK"/>
          <w:color w:val="000000" w:themeColor="text1"/>
          <w:kern w:val="0"/>
          <w:sz w:val="32"/>
          <w:szCs w:val="32"/>
        </w:rPr>
        <w:t>长度为</w:t>
      </w:r>
      <w:r>
        <w:rPr>
          <w:rFonts w:hint="eastAsia" w:eastAsia="方正仿宋_GBK"/>
          <w:color w:val="000000" w:themeColor="text1"/>
          <w:kern w:val="0"/>
          <w:sz w:val="32"/>
          <w:szCs w:val="32"/>
        </w:rPr>
        <w:t>4</w:t>
      </w:r>
      <w:r>
        <w:rPr>
          <w:rFonts w:eastAsia="方正仿宋_GBK"/>
          <w:color w:val="000000" w:themeColor="text1"/>
          <w:kern w:val="0"/>
          <w:sz w:val="32"/>
          <w:szCs w:val="32"/>
        </w:rPr>
        <w:t>公里。</w:t>
      </w:r>
    </w:p>
    <w:p>
      <w:pPr>
        <w:spacing w:line="580" w:lineRule="exact"/>
        <w:jc w:val="center"/>
        <w:rPr>
          <w:rFonts w:ascii="方正黑体_GBK" w:eastAsia="方正黑体_GBK"/>
          <w:color w:val="000000" w:themeColor="text1"/>
          <w:kern w:val="0"/>
          <w:sz w:val="32"/>
          <w:szCs w:val="32"/>
        </w:rPr>
      </w:pPr>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w:t>
      </w:r>
      <w:r>
        <w:rPr>
          <w:rFonts w:hint="eastAsia" w:ascii="方正黑体_GBK" w:eastAsia="方正黑体_GBK"/>
          <w:bCs/>
          <w:color w:val="000000" w:themeColor="text1"/>
          <w:kern w:val="0"/>
          <w:sz w:val="28"/>
          <w:szCs w:val="28"/>
        </w:rPr>
        <w:t>19南川区综合管廊建设规划表</w:t>
      </w:r>
    </w:p>
    <w:tbl>
      <w:tblPr>
        <w:tblStyle w:val="18"/>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531"/>
        <w:gridCol w:w="1890"/>
        <w:gridCol w:w="1359"/>
        <w:gridCol w:w="1401"/>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53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189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35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40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531" w:type="dxa"/>
            <w:vAlign w:val="center"/>
          </w:tcPr>
          <w:p>
            <w:pPr>
              <w:widowControl/>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北环路综合管廊建设项目</w:t>
            </w:r>
          </w:p>
        </w:tc>
        <w:tc>
          <w:tcPr>
            <w:tcW w:w="189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新建长度约1km</w:t>
            </w:r>
          </w:p>
        </w:tc>
        <w:tc>
          <w:tcPr>
            <w:tcW w:w="135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40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8080</w:t>
            </w:r>
          </w:p>
        </w:tc>
        <w:tc>
          <w:tcPr>
            <w:tcW w:w="76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53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东环路综合管廊建设项目</w:t>
            </w:r>
          </w:p>
        </w:tc>
        <w:tc>
          <w:tcPr>
            <w:tcW w:w="189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新建长度约1</w:t>
            </w:r>
            <w:r>
              <w:rPr>
                <w:rFonts w:ascii="方正黑体_GBK" w:eastAsia="方正黑体_GBK"/>
                <w:bCs/>
                <w:color w:val="000000" w:themeColor="text1"/>
                <w:kern w:val="0"/>
                <w:szCs w:val="21"/>
              </w:rPr>
              <w:t>.323</w:t>
            </w:r>
            <w:r>
              <w:rPr>
                <w:rFonts w:hint="eastAsia" w:ascii="方正黑体_GBK" w:eastAsia="方正黑体_GBK"/>
                <w:bCs/>
                <w:color w:val="000000" w:themeColor="text1"/>
                <w:kern w:val="0"/>
                <w:szCs w:val="21"/>
              </w:rPr>
              <w:t>km</w:t>
            </w:r>
          </w:p>
        </w:tc>
        <w:tc>
          <w:tcPr>
            <w:tcW w:w="135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40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9</w:t>
            </w:r>
            <w:r>
              <w:rPr>
                <w:rFonts w:ascii="方正黑体_GBK" w:eastAsia="方正黑体_GBK"/>
                <w:bCs/>
                <w:color w:val="000000" w:themeColor="text1"/>
                <w:kern w:val="0"/>
                <w:szCs w:val="21"/>
              </w:rPr>
              <w:t>261</w:t>
            </w:r>
          </w:p>
        </w:tc>
        <w:tc>
          <w:tcPr>
            <w:tcW w:w="76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53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南大街综合管廊建设项目</w:t>
            </w:r>
          </w:p>
        </w:tc>
        <w:tc>
          <w:tcPr>
            <w:tcW w:w="189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新建长度约4km</w:t>
            </w:r>
          </w:p>
        </w:tc>
        <w:tc>
          <w:tcPr>
            <w:tcW w:w="135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023~2025</w:t>
            </w:r>
          </w:p>
        </w:tc>
        <w:tc>
          <w:tcPr>
            <w:tcW w:w="140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28000</w:t>
            </w:r>
          </w:p>
        </w:tc>
        <w:tc>
          <w:tcPr>
            <w:tcW w:w="76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before="0" w:after="0" w:line="580" w:lineRule="exact"/>
        <w:ind w:firstLine="643" w:firstLineChars="200"/>
        <w:rPr>
          <w:color w:val="000000" w:themeColor="text1"/>
        </w:rPr>
      </w:pPr>
      <w:r>
        <w:fldChar w:fldCharType="begin"/>
      </w:r>
      <w:r>
        <w:instrText xml:space="preserve"> HYPERLINK \l "_Toc57993017" </w:instrText>
      </w:r>
      <w:r>
        <w:fldChar w:fldCharType="separate"/>
      </w:r>
      <w:bookmarkStart w:id="101" w:name="_Toc90910508"/>
      <w:r>
        <w:rPr>
          <w:rFonts w:hint="eastAsia" w:ascii="方正黑体_GBK" w:eastAsia="方正黑体_GBK"/>
          <w:b w:val="0"/>
          <w:color w:val="000000" w:themeColor="text1"/>
          <w:kern w:val="0"/>
        </w:rPr>
        <w:t>三、</w:t>
      </w:r>
      <w:r>
        <w:rPr>
          <w:rFonts w:hint="eastAsia" w:ascii="方正黑体_GBK" w:eastAsia="方正黑体_GBK"/>
          <w:b w:val="0"/>
          <w:color w:val="000000" w:themeColor="text1"/>
          <w:kern w:val="0"/>
        </w:rPr>
        <w:fldChar w:fldCharType="end"/>
      </w:r>
      <w:r>
        <w:rPr>
          <w:rFonts w:hint="eastAsia" w:ascii="方正黑体_GBK" w:eastAsia="方正黑体_GBK"/>
          <w:b w:val="0"/>
          <w:color w:val="000000" w:themeColor="text1"/>
          <w:kern w:val="0"/>
        </w:rPr>
        <w:t>推动园林绿化高质量建设</w:t>
      </w:r>
      <w:bookmarkEnd w:id="101"/>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构建由郊野公园、城市公园、小镇公园和口袋公园组成的四级公园体系。充分利用山、水、林、田、湖、草等自然生态条件建立完整连续的城市绿地空间体系，改善城市生态环境，满足城市生态可持续发展。使城市绿地与外围郊野生态绿地融会贯通，完善绿地层次，强调山、水、城相互呼应，形成点、线、面、环 相结合的开敞空间系统，创造良好的生态环境，使南川成为生态持续、绿量充足、类型多样、分布均衡、环境优美的山水田园城市。</w:t>
      </w:r>
    </w:p>
    <w:p>
      <w:pPr>
        <w:spacing w:line="580" w:lineRule="exact"/>
        <w:ind w:firstLine="640" w:firstLineChars="200"/>
        <w:jc w:val="left"/>
        <w:rPr>
          <w:rFonts w:ascii="方正楷体_GBK" w:hAnsi="方正楷体_GBK" w:eastAsia="方正楷体_GBK" w:cs="方正楷体_GBK"/>
          <w:bCs/>
          <w:color w:val="000000" w:themeColor="text1"/>
          <w:kern w:val="0"/>
          <w:sz w:val="32"/>
          <w:szCs w:val="32"/>
        </w:rPr>
      </w:pPr>
      <w:r>
        <w:rPr>
          <w:rFonts w:hint="eastAsia" w:ascii="方正楷体_GBK" w:hAnsi="方正楷体_GBK" w:eastAsia="方正楷体_GBK" w:cs="方正楷体_GBK"/>
          <w:bCs/>
          <w:color w:val="000000" w:themeColor="text1"/>
          <w:kern w:val="0"/>
          <w:sz w:val="32"/>
          <w:szCs w:val="32"/>
        </w:rPr>
        <w:t>（1）公园配套设施及提档升级规划</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提升城市公园品质，改造既有公园、街头绿地、游园、开放式社区绿地，建设口袋公园。创新“公园+”建设模式，更加体现公园的文化、体育、主题、景观、生态功能特色，全面提升综合服务功能，打造集合于一体的多功能多体验的公园式活动场所。</w:t>
      </w:r>
    </w:p>
    <w:p>
      <w:pPr>
        <w:spacing w:line="580" w:lineRule="exact"/>
        <w:ind w:firstLine="640" w:firstLineChars="200"/>
        <w:jc w:val="left"/>
        <w:rPr>
          <w:rFonts w:ascii="方正楷体_GBK" w:hAnsi="方正楷体_GBK" w:eastAsia="方正楷体_GBK" w:cs="方正楷体_GBK"/>
          <w:bCs/>
          <w:color w:val="000000" w:themeColor="text1"/>
          <w:kern w:val="0"/>
          <w:sz w:val="32"/>
          <w:szCs w:val="32"/>
        </w:rPr>
      </w:pPr>
      <w:r>
        <w:rPr>
          <w:rFonts w:hint="eastAsia" w:ascii="方正楷体_GBK" w:hAnsi="方正楷体_GBK" w:eastAsia="方正楷体_GBK" w:cs="方正楷体_GBK"/>
          <w:bCs/>
          <w:color w:val="000000" w:themeColor="text1"/>
          <w:kern w:val="0"/>
          <w:sz w:val="32"/>
          <w:szCs w:val="32"/>
        </w:rPr>
        <w:t>（2）公园建设规划</w:t>
      </w:r>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规划建设各类公园共</w:t>
      </w:r>
      <w:r>
        <w:rPr>
          <w:rFonts w:hint="eastAsia" w:eastAsia="方正仿宋_GBK"/>
          <w:bCs/>
          <w:color w:val="000000" w:themeColor="text1"/>
          <w:kern w:val="0"/>
          <w:sz w:val="32"/>
          <w:szCs w:val="32"/>
        </w:rPr>
        <w:t>4项，总用地110.49</w:t>
      </w:r>
      <w:r>
        <w:rPr>
          <w:rFonts w:eastAsia="方正仿宋_GBK"/>
          <w:bCs/>
          <w:color w:val="000000" w:themeColor="text1"/>
          <w:kern w:val="0"/>
          <w:sz w:val="32"/>
          <w:szCs w:val="32"/>
        </w:rPr>
        <w:t>公顷，包括新建</w:t>
      </w:r>
      <w:r>
        <w:rPr>
          <w:rFonts w:hint="eastAsia" w:eastAsia="方正仿宋_GBK"/>
          <w:bCs/>
          <w:color w:val="000000" w:themeColor="text1"/>
          <w:kern w:val="0"/>
          <w:sz w:val="32"/>
          <w:szCs w:val="32"/>
        </w:rPr>
        <w:t>8.8</w:t>
      </w:r>
      <w:r>
        <w:rPr>
          <w:rFonts w:eastAsia="方正仿宋_GBK"/>
          <w:bCs/>
          <w:color w:val="000000" w:themeColor="text1"/>
          <w:kern w:val="0"/>
          <w:sz w:val="32"/>
          <w:szCs w:val="32"/>
        </w:rPr>
        <w:t>公顷，扩建</w:t>
      </w:r>
      <w:r>
        <w:rPr>
          <w:rFonts w:hint="eastAsia" w:eastAsia="方正仿宋_GBK"/>
          <w:bCs/>
          <w:color w:val="000000" w:themeColor="text1"/>
          <w:kern w:val="0"/>
          <w:sz w:val="32"/>
          <w:szCs w:val="32"/>
        </w:rPr>
        <w:t>101.69</w:t>
      </w:r>
      <w:r>
        <w:rPr>
          <w:rFonts w:eastAsia="方正仿宋_GBK"/>
          <w:bCs/>
          <w:color w:val="000000" w:themeColor="text1"/>
          <w:kern w:val="0"/>
          <w:sz w:val="32"/>
          <w:szCs w:val="32"/>
        </w:rPr>
        <w:t>公顷，总投资</w:t>
      </w:r>
      <w:r>
        <w:rPr>
          <w:rFonts w:hint="eastAsia" w:eastAsia="方正仿宋_GBK"/>
          <w:bCs/>
          <w:color w:val="000000" w:themeColor="text1"/>
          <w:kern w:val="0"/>
          <w:sz w:val="32"/>
          <w:szCs w:val="32"/>
        </w:rPr>
        <w:t>4.66亿</w:t>
      </w:r>
      <w:r>
        <w:rPr>
          <w:rFonts w:eastAsia="方正仿宋_GBK"/>
          <w:bCs/>
          <w:color w:val="000000" w:themeColor="text1"/>
          <w:kern w:val="0"/>
          <w:sz w:val="32"/>
          <w:szCs w:val="32"/>
        </w:rPr>
        <w:t>元。</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表3-20南川区公园建设规划表</w:t>
      </w:r>
    </w:p>
    <w:tbl>
      <w:tblPr>
        <w:tblStyle w:val="17"/>
        <w:tblW w:w="4994" w:type="pct"/>
        <w:tblInd w:w="0" w:type="dxa"/>
        <w:tblLayout w:type="fixed"/>
        <w:tblCellMar>
          <w:top w:w="0" w:type="dxa"/>
          <w:left w:w="108" w:type="dxa"/>
          <w:bottom w:w="0" w:type="dxa"/>
          <w:right w:w="108" w:type="dxa"/>
        </w:tblCellMar>
      </w:tblPr>
      <w:tblGrid>
        <w:gridCol w:w="688"/>
        <w:gridCol w:w="1305"/>
        <w:gridCol w:w="3192"/>
        <w:gridCol w:w="1446"/>
        <w:gridCol w:w="1305"/>
        <w:gridCol w:w="775"/>
      </w:tblGrid>
      <w:tr>
        <w:tblPrEx>
          <w:tblCellMar>
            <w:top w:w="0" w:type="dxa"/>
            <w:left w:w="108" w:type="dxa"/>
            <w:bottom w:w="0" w:type="dxa"/>
            <w:right w:w="108" w:type="dxa"/>
          </w:tblCellMar>
        </w:tblPrEx>
        <w:trPr>
          <w:trHeight w:val="613" w:hRule="atLeast"/>
          <w:tblHeader/>
        </w:trPr>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748" w:type="pct"/>
            <w:tcBorders>
              <w:top w:val="single" w:color="auto" w:sz="4" w:space="0"/>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w:t>
            </w:r>
          </w:p>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名称</w:t>
            </w:r>
          </w:p>
        </w:tc>
        <w:tc>
          <w:tcPr>
            <w:tcW w:w="1831" w:type="pct"/>
            <w:tcBorders>
              <w:top w:val="single" w:color="auto" w:sz="4" w:space="0"/>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829" w:type="pct"/>
            <w:tcBorders>
              <w:top w:val="single" w:color="auto" w:sz="4" w:space="0"/>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建设年限</w:t>
            </w:r>
          </w:p>
        </w:tc>
        <w:tc>
          <w:tcPr>
            <w:tcW w:w="748" w:type="pct"/>
            <w:tcBorders>
              <w:top w:val="single" w:color="auto" w:sz="4" w:space="0"/>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项目总投资</w:t>
            </w:r>
          </w:p>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CellMar>
            <w:top w:w="0" w:type="dxa"/>
            <w:left w:w="108" w:type="dxa"/>
            <w:bottom w:w="0" w:type="dxa"/>
            <w:right w:w="108" w:type="dxa"/>
          </w:tblCellMar>
        </w:tblPrEx>
        <w:trPr>
          <w:trHeight w:val="613" w:hRule="atLeast"/>
        </w:trPr>
        <w:tc>
          <w:tcPr>
            <w:tcW w:w="395" w:type="pct"/>
            <w:tcBorders>
              <w:top w:val="nil"/>
              <w:left w:val="single" w:color="auto" w:sz="4" w:space="0"/>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748" w:type="pct"/>
            <w:tcBorders>
              <w:top w:val="nil"/>
              <w:left w:val="nil"/>
              <w:bottom w:val="single" w:color="auto" w:sz="4" w:space="0"/>
              <w:right w:val="single" w:color="auto" w:sz="4" w:space="0"/>
            </w:tcBorders>
            <w:shd w:val="clear" w:color="auto" w:fill="auto"/>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来游公园</w:t>
            </w:r>
          </w:p>
        </w:tc>
        <w:tc>
          <w:tcPr>
            <w:tcW w:w="1831" w:type="pct"/>
            <w:tcBorders>
              <w:top w:val="nil"/>
              <w:left w:val="nil"/>
              <w:bottom w:val="single" w:color="auto" w:sz="4" w:space="0"/>
              <w:right w:val="single" w:color="auto" w:sz="4" w:space="0"/>
            </w:tcBorders>
            <w:shd w:val="clear" w:color="auto" w:fill="auto"/>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2.14公顷，建设绿化、道路、休闲设施等</w:t>
            </w:r>
          </w:p>
        </w:tc>
        <w:tc>
          <w:tcPr>
            <w:tcW w:w="829"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748"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1100</w:t>
            </w:r>
          </w:p>
        </w:tc>
        <w:tc>
          <w:tcPr>
            <w:tcW w:w="445"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CellMar>
            <w:top w:w="0" w:type="dxa"/>
            <w:left w:w="108" w:type="dxa"/>
            <w:bottom w:w="0" w:type="dxa"/>
            <w:right w:w="108" w:type="dxa"/>
          </w:tblCellMar>
        </w:tblPrEx>
        <w:trPr>
          <w:trHeight w:val="613" w:hRule="atLeast"/>
        </w:trPr>
        <w:tc>
          <w:tcPr>
            <w:tcW w:w="395" w:type="pct"/>
            <w:tcBorders>
              <w:top w:val="nil"/>
              <w:left w:val="single" w:color="auto" w:sz="4" w:space="0"/>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748" w:type="pct"/>
            <w:tcBorders>
              <w:top w:val="nil"/>
              <w:left w:val="nil"/>
              <w:bottom w:val="single" w:color="auto" w:sz="4" w:space="0"/>
              <w:right w:val="single" w:color="auto" w:sz="4" w:space="0"/>
            </w:tcBorders>
            <w:shd w:val="clear" w:color="auto" w:fill="auto"/>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九鼎山公园</w:t>
            </w:r>
          </w:p>
        </w:tc>
        <w:tc>
          <w:tcPr>
            <w:tcW w:w="1831" w:type="pct"/>
            <w:tcBorders>
              <w:top w:val="nil"/>
              <w:left w:val="nil"/>
              <w:bottom w:val="single" w:color="auto" w:sz="4" w:space="0"/>
              <w:right w:val="single" w:color="auto" w:sz="4" w:space="0"/>
            </w:tcBorders>
            <w:shd w:val="clear" w:color="auto" w:fill="auto"/>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26.72公顷，建设绿化、道路、休闲设施等</w:t>
            </w:r>
          </w:p>
        </w:tc>
        <w:tc>
          <w:tcPr>
            <w:tcW w:w="829"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748"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8016</w:t>
            </w:r>
          </w:p>
        </w:tc>
        <w:tc>
          <w:tcPr>
            <w:tcW w:w="445"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改建</w:t>
            </w:r>
          </w:p>
        </w:tc>
      </w:tr>
      <w:tr>
        <w:tblPrEx>
          <w:tblCellMar>
            <w:top w:w="0" w:type="dxa"/>
            <w:left w:w="108" w:type="dxa"/>
            <w:bottom w:w="0" w:type="dxa"/>
            <w:right w:w="108" w:type="dxa"/>
          </w:tblCellMar>
        </w:tblPrEx>
        <w:trPr>
          <w:trHeight w:val="613" w:hRule="atLeast"/>
        </w:trPr>
        <w:tc>
          <w:tcPr>
            <w:tcW w:w="395" w:type="pct"/>
            <w:tcBorders>
              <w:top w:val="nil"/>
              <w:left w:val="single" w:color="auto" w:sz="4" w:space="0"/>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748" w:type="pct"/>
            <w:tcBorders>
              <w:top w:val="nil"/>
              <w:left w:val="nil"/>
              <w:bottom w:val="single" w:color="auto" w:sz="4" w:space="0"/>
              <w:right w:val="single" w:color="auto" w:sz="4" w:space="0"/>
            </w:tcBorders>
            <w:shd w:val="clear" w:color="auto" w:fill="auto"/>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南川区高铁新城文化体育公园</w:t>
            </w:r>
          </w:p>
        </w:tc>
        <w:tc>
          <w:tcPr>
            <w:tcW w:w="1831" w:type="pct"/>
            <w:tcBorders>
              <w:top w:val="nil"/>
              <w:left w:val="nil"/>
              <w:bottom w:val="single" w:color="auto" w:sz="4" w:space="0"/>
              <w:right w:val="single" w:color="auto" w:sz="4" w:space="0"/>
            </w:tcBorders>
            <w:shd w:val="clear" w:color="auto" w:fill="auto"/>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沿渝湘高铁周边，打造占地约100亩集文化、旅游、休闲、娱乐、健身多功能一体的文化体育公园。</w:t>
            </w:r>
          </w:p>
        </w:tc>
        <w:tc>
          <w:tcPr>
            <w:tcW w:w="829"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748"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15000</w:t>
            </w:r>
          </w:p>
        </w:tc>
        <w:tc>
          <w:tcPr>
            <w:tcW w:w="445" w:type="pct"/>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CellMar>
            <w:top w:w="0" w:type="dxa"/>
            <w:left w:w="108" w:type="dxa"/>
            <w:bottom w:w="0" w:type="dxa"/>
            <w:right w:w="108" w:type="dxa"/>
          </w:tblCellMar>
        </w:tblPrEx>
        <w:trPr>
          <w:trHeight w:val="613" w:hRule="atLeast"/>
        </w:trPr>
        <w:tc>
          <w:tcPr>
            <w:tcW w:w="395" w:type="pct"/>
            <w:tcBorders>
              <w:top w:val="nil"/>
              <w:left w:val="single" w:color="auto" w:sz="4" w:space="0"/>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1305" w:type="dxa"/>
            <w:tcBorders>
              <w:top w:val="nil"/>
              <w:left w:val="nil"/>
              <w:bottom w:val="single" w:color="auto" w:sz="4" w:space="0"/>
              <w:right w:val="single" w:color="auto" w:sz="4" w:space="0"/>
            </w:tcBorders>
            <w:shd w:val="clear" w:color="auto" w:fill="auto"/>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凤嘴江滨河公园</w:t>
            </w:r>
          </w:p>
        </w:tc>
        <w:tc>
          <w:tcPr>
            <w:tcW w:w="3191" w:type="dxa"/>
            <w:tcBorders>
              <w:top w:val="nil"/>
              <w:left w:val="nil"/>
              <w:bottom w:val="single" w:color="auto" w:sz="4" w:space="0"/>
              <w:right w:val="single" w:color="auto" w:sz="4" w:space="0"/>
            </w:tcBorders>
            <w:shd w:val="clear" w:color="auto" w:fill="auto"/>
            <w:vAlign w:val="center"/>
          </w:tcPr>
          <w:p>
            <w:pPr>
              <w:snapToGrid w:val="0"/>
              <w:spacing w:line="50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74.97公顷，建设绿化、道路、休闲设施等</w:t>
            </w:r>
          </w:p>
        </w:tc>
        <w:tc>
          <w:tcPr>
            <w:tcW w:w="1446" w:type="dxa"/>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1305" w:type="dxa"/>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22491</w:t>
            </w:r>
          </w:p>
        </w:tc>
        <w:tc>
          <w:tcPr>
            <w:tcW w:w="776" w:type="dxa"/>
            <w:tcBorders>
              <w:top w:val="nil"/>
              <w:left w:val="nil"/>
              <w:bottom w:val="single" w:color="auto" w:sz="4" w:space="0"/>
              <w:right w:val="single" w:color="auto" w:sz="4" w:space="0"/>
            </w:tcBorders>
            <w:shd w:val="clear" w:color="auto" w:fill="auto"/>
            <w:noWrap/>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改扩建</w:t>
            </w:r>
          </w:p>
        </w:tc>
      </w:tr>
    </w:tbl>
    <w:p>
      <w:pPr>
        <w:pStyle w:val="5"/>
        <w:spacing w:before="0" w:after="0" w:line="580" w:lineRule="exact"/>
        <w:ind w:firstLine="643" w:firstLineChars="200"/>
        <w:rPr>
          <w:rFonts w:ascii="方正黑体_GBK" w:eastAsia="方正黑体_GBK"/>
          <w:bCs w:val="0"/>
          <w:color w:val="000000" w:themeColor="text1"/>
          <w:kern w:val="0"/>
        </w:rPr>
      </w:pPr>
      <w:r>
        <w:fldChar w:fldCharType="begin"/>
      </w:r>
      <w:r>
        <w:instrText xml:space="preserve"> HYPERLINK \l "_Toc57993018" </w:instrText>
      </w:r>
      <w:r>
        <w:fldChar w:fldCharType="separate"/>
      </w:r>
      <w:bookmarkStart w:id="102" w:name="_Toc90910509"/>
      <w:r>
        <w:rPr>
          <w:rFonts w:hint="eastAsia" w:ascii="方正黑体_GBK" w:eastAsia="方正黑体_GBK"/>
          <w:b w:val="0"/>
          <w:color w:val="000000" w:themeColor="text1"/>
          <w:kern w:val="0"/>
        </w:rPr>
        <w:t>四、</w:t>
      </w:r>
      <w:r>
        <w:rPr>
          <w:rFonts w:hint="eastAsia" w:ascii="方正黑体_GBK" w:eastAsia="方正黑体_GBK"/>
          <w:b w:val="0"/>
          <w:color w:val="000000" w:themeColor="text1"/>
          <w:kern w:val="0"/>
        </w:rPr>
        <w:fldChar w:fldCharType="end"/>
      </w:r>
      <w:r>
        <w:rPr>
          <w:rFonts w:hint="eastAsia" w:ascii="方正黑体_GBK" w:eastAsia="方正黑体_GBK"/>
          <w:b w:val="0"/>
          <w:color w:val="000000" w:themeColor="text1"/>
          <w:kern w:val="0"/>
        </w:rPr>
        <w:t>推进“清水绿岸”治理提升</w:t>
      </w:r>
      <w:bookmarkEnd w:id="102"/>
    </w:p>
    <w:p>
      <w:pPr>
        <w:spacing w:line="580" w:lineRule="exact"/>
        <w:ind w:firstLine="640" w:firstLineChars="200"/>
        <w:rPr>
          <w:rFonts w:eastAsia="方正仿宋_GBK"/>
          <w:bCs/>
          <w:color w:val="000000" w:themeColor="text1"/>
          <w:kern w:val="0"/>
          <w:sz w:val="32"/>
          <w:szCs w:val="32"/>
        </w:rPr>
      </w:pPr>
      <w:r>
        <w:rPr>
          <w:rFonts w:eastAsia="方正仿宋_GBK"/>
          <w:bCs/>
          <w:color w:val="000000" w:themeColor="text1"/>
          <w:kern w:val="0"/>
          <w:sz w:val="32"/>
          <w:szCs w:val="32"/>
        </w:rPr>
        <w:t>改善水环境质量。深化“河长制”，落实“一河一库一策”，保障河流生态基流，维护湖库生态库容，全面推进水污染治理、水生态修复和水资源保护“三水共治”，确保出境断面水质稳定在Ⅲ类水质以上。继续开展凤嘴江、半溪河等河流及溪流生态环境综合整治，实施管网截污、河道清淤、水系沟通、生态护岸整修、调水设施完善、河岸散乱堆存的生活垃圾清理、沿河绿化、重要河道沿河建休闲景观带等综合措施，全面改善流域生态环境。推进工业园区污水处理设施升级改造，加强工业园区污水处理厂和重点企业污水处理站管理，持续推进工业源达标排放。全面实行排污许可制。补齐城乡生活污水收集和处理设施短板，实现建成区城市污水基本全收集、全处理。开展集中式饮用水源地规范化建设，达标率实现100%。</w:t>
      </w:r>
    </w:p>
    <w:p>
      <w:pPr>
        <w:pStyle w:val="2"/>
      </w:pP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表3-21南川区“清水绿岸”治理规划表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152"/>
        <w:gridCol w:w="2643"/>
        <w:gridCol w:w="1355"/>
        <w:gridCol w:w="1148"/>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15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643"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35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14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63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15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凤嘴江河道综合治理（凤嘴江3号闸门建设工程）</w:t>
            </w:r>
          </w:p>
        </w:tc>
        <w:tc>
          <w:tcPr>
            <w:tcW w:w="2643" w:type="dxa"/>
            <w:vAlign w:val="center"/>
          </w:tcPr>
          <w:p>
            <w:pPr>
              <w:snapToGrid w:val="0"/>
              <w:spacing w:line="38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工程由闸室和消能设施段组成，</w:t>
            </w:r>
            <w:r>
              <w:rPr>
                <w:rFonts w:hint="eastAsia" w:ascii="方正黑体_GBK" w:eastAsia="方正黑体_GBK"/>
                <w:bCs/>
                <w:color w:val="000000" w:themeColor="text1"/>
                <w:spacing w:val="-6"/>
                <w:kern w:val="0"/>
                <w:szCs w:val="21"/>
              </w:rPr>
              <w:t>闸室泄流净宽37.2m，闸底板高程为518.30m，共设6孔，孔口尺寸为6.2m（宽）×5.2m（高），闸门门叶构造为钢板闸门结构，闸门为成套设备。</w:t>
            </w:r>
          </w:p>
        </w:tc>
        <w:tc>
          <w:tcPr>
            <w:tcW w:w="135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2020-2021</w:t>
            </w:r>
          </w:p>
        </w:tc>
        <w:tc>
          <w:tcPr>
            <w:tcW w:w="114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2730.47</w:t>
            </w:r>
          </w:p>
        </w:tc>
        <w:tc>
          <w:tcPr>
            <w:tcW w:w="63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152"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半溪河西门桥至杨泗桥河道两岸绿化景观工程</w:t>
            </w:r>
          </w:p>
        </w:tc>
        <w:tc>
          <w:tcPr>
            <w:tcW w:w="2643" w:type="dxa"/>
            <w:vAlign w:val="center"/>
          </w:tcPr>
          <w:p>
            <w:pPr>
              <w:snapToGrid w:val="0"/>
              <w:spacing w:line="38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整治河道总长750米，建设服务用房总建筑面积13500平方米，实施景观绿化3.43亩，配套道路、管网、路灯等附属工程。</w:t>
            </w:r>
          </w:p>
        </w:tc>
        <w:tc>
          <w:tcPr>
            <w:tcW w:w="135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2021-2023</w:t>
            </w:r>
          </w:p>
        </w:tc>
        <w:tc>
          <w:tcPr>
            <w:tcW w:w="114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28500</w:t>
            </w:r>
          </w:p>
        </w:tc>
        <w:tc>
          <w:tcPr>
            <w:tcW w:w="63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152" w:type="dxa"/>
            <w:vAlign w:val="center"/>
          </w:tcPr>
          <w:p>
            <w:pPr>
              <w:snapToGrid w:val="0"/>
              <w:spacing w:line="38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重庆市南川区大溪河（木渡河至凤嘴江段）综合治理工程</w:t>
            </w:r>
          </w:p>
          <w:p>
            <w:pPr>
              <w:snapToGrid w:val="0"/>
              <w:spacing w:line="380" w:lineRule="exact"/>
              <w:jc w:val="left"/>
              <w:rPr>
                <w:rFonts w:ascii="方正黑体_GBK" w:eastAsia="方正黑体_GBK"/>
                <w:bCs/>
                <w:color w:val="000000" w:themeColor="text1"/>
                <w:kern w:val="0"/>
                <w:szCs w:val="21"/>
              </w:rPr>
            </w:pPr>
          </w:p>
        </w:tc>
        <w:tc>
          <w:tcPr>
            <w:tcW w:w="2643" w:type="dxa"/>
            <w:vAlign w:val="center"/>
          </w:tcPr>
          <w:p>
            <w:pPr>
              <w:snapToGrid w:val="0"/>
              <w:spacing w:line="38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工程治理河道总长38.7km，其中治理大溪河治理河道长29.2km，石钟溪治理河道长1km，半溪河治理河道长4.2km，小河治理河道长2.2km，响水沟治理河道长2.1km。</w:t>
            </w:r>
          </w:p>
        </w:tc>
        <w:tc>
          <w:tcPr>
            <w:tcW w:w="1355"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2023-2025</w:t>
            </w:r>
          </w:p>
        </w:tc>
        <w:tc>
          <w:tcPr>
            <w:tcW w:w="114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18000</w:t>
            </w:r>
          </w:p>
        </w:tc>
        <w:tc>
          <w:tcPr>
            <w:tcW w:w="63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00" w:lineRule="exact"/>
              <w:jc w:val="center"/>
              <w:rPr>
                <w:rFonts w:hint="eastAsia" w:ascii="方正黑体_GBK" w:eastAsia="方正黑体_GBK"/>
                <w:bCs/>
                <w:color w:val="000000" w:themeColor="text1"/>
                <w:kern w:val="0"/>
                <w:szCs w:val="21"/>
                <w:lang w:val="en-US" w:eastAsia="zh-CN"/>
              </w:rPr>
            </w:pPr>
            <w:r>
              <w:rPr>
                <w:rFonts w:hint="eastAsia" w:ascii="方正黑体_GBK" w:eastAsia="方正黑体_GBK"/>
                <w:bCs/>
                <w:color w:val="000000" w:themeColor="text1"/>
                <w:kern w:val="0"/>
                <w:szCs w:val="21"/>
                <w:lang w:val="en-US" w:eastAsia="zh-CN"/>
              </w:rPr>
              <w:t>4</w:t>
            </w:r>
          </w:p>
        </w:tc>
        <w:tc>
          <w:tcPr>
            <w:tcW w:w="2152" w:type="dxa"/>
            <w:vAlign w:val="center"/>
          </w:tcPr>
          <w:p>
            <w:pPr>
              <w:snapToGrid w:val="0"/>
              <w:spacing w:line="380" w:lineRule="exact"/>
              <w:jc w:val="left"/>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南川区大溪河工业园区段长江大保护水生态综合治理工程</w:t>
            </w:r>
          </w:p>
        </w:tc>
        <w:tc>
          <w:tcPr>
            <w:tcW w:w="2643" w:type="dxa"/>
            <w:vAlign w:val="center"/>
          </w:tcPr>
          <w:p>
            <w:pPr>
              <w:snapToGrid w:val="0"/>
              <w:spacing w:line="380" w:lineRule="exact"/>
              <w:jc w:val="left"/>
              <w:rPr>
                <w:rFonts w:hint="eastAsia" w:ascii="方正黑体_GBK" w:eastAsia="方正黑体_GBK"/>
                <w:bCs/>
                <w:color w:val="000000" w:themeColor="text1"/>
                <w:kern w:val="0"/>
                <w:szCs w:val="21"/>
              </w:rPr>
            </w:pPr>
            <w:r>
              <w:rPr>
                <w:rFonts w:hint="eastAsia" w:ascii="方正黑体_GBK" w:eastAsia="方正黑体_GBK"/>
                <w:bCs/>
                <w:color w:val="000000" w:themeColor="text1"/>
                <w:kern w:val="0"/>
                <w:szCs w:val="21"/>
              </w:rPr>
              <w:t>本项目对大溪河工业园区段约20Km长河道开展水生态综合治理。包含河道清淤、护坡堤岸工程、步游道，对双赢集团磷石膏渣场进行综合整治，包括约300万m³的磷石膏综合利用处理、河道水污染治理及185亩磷石膏片区土地环保修复治理等建设内容，配套建设雨污管网、照明、绿化、环卫等基础设施。</w:t>
            </w:r>
          </w:p>
        </w:tc>
        <w:tc>
          <w:tcPr>
            <w:tcW w:w="1355" w:type="dxa"/>
            <w:vAlign w:val="center"/>
          </w:tcPr>
          <w:p>
            <w:pPr>
              <w:snapToGrid w:val="0"/>
              <w:spacing w:line="400" w:lineRule="exact"/>
              <w:jc w:val="center"/>
              <w:rPr>
                <w:rFonts w:hint="default" w:ascii="方正黑体_GBK" w:eastAsia="方正黑体_GBK"/>
                <w:bCs/>
                <w:color w:val="000000" w:themeColor="text1"/>
                <w:kern w:val="0"/>
                <w:szCs w:val="21"/>
                <w:lang w:val="en-US" w:eastAsia="zh-CN"/>
              </w:rPr>
            </w:pPr>
            <w:r>
              <w:rPr>
                <w:rFonts w:hint="eastAsia" w:ascii="方正黑体_GBK" w:eastAsia="方正黑体_GBK"/>
                <w:bCs/>
                <w:color w:val="000000" w:themeColor="text1"/>
                <w:kern w:val="0"/>
                <w:szCs w:val="21"/>
                <w:lang w:val="en-US" w:eastAsia="zh-CN"/>
              </w:rPr>
              <w:t>2021-2025</w:t>
            </w:r>
          </w:p>
        </w:tc>
        <w:tc>
          <w:tcPr>
            <w:tcW w:w="1148" w:type="dxa"/>
            <w:vAlign w:val="center"/>
          </w:tcPr>
          <w:p>
            <w:pPr>
              <w:snapToGrid w:val="0"/>
              <w:spacing w:line="400" w:lineRule="exact"/>
              <w:jc w:val="center"/>
              <w:rPr>
                <w:rFonts w:hint="default" w:ascii="方正黑体_GBK" w:eastAsia="方正黑体_GBK"/>
                <w:bCs/>
                <w:color w:val="000000" w:themeColor="text1"/>
                <w:kern w:val="0"/>
                <w:szCs w:val="21"/>
                <w:lang w:val="en-US" w:eastAsia="zh-CN"/>
              </w:rPr>
            </w:pPr>
            <w:r>
              <w:rPr>
                <w:rFonts w:hint="eastAsia" w:ascii="方正黑体_GBK" w:eastAsia="方正黑体_GBK"/>
                <w:bCs/>
                <w:color w:val="000000" w:themeColor="text1"/>
                <w:kern w:val="0"/>
                <w:szCs w:val="21"/>
                <w:lang w:val="en-US" w:eastAsia="zh-CN"/>
              </w:rPr>
              <w:t>80000</w:t>
            </w:r>
          </w:p>
        </w:tc>
        <w:tc>
          <w:tcPr>
            <w:tcW w:w="639"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before="0" w:after="0" w:line="580" w:lineRule="exact"/>
        <w:ind w:firstLine="643" w:firstLineChars="200"/>
        <w:rPr>
          <w:color w:val="000000" w:themeColor="text1"/>
        </w:rPr>
      </w:pPr>
      <w:r>
        <w:fldChar w:fldCharType="begin"/>
      </w:r>
      <w:r>
        <w:instrText xml:space="preserve"> HYPERLINK \l "_Toc57993019" </w:instrText>
      </w:r>
      <w:r>
        <w:fldChar w:fldCharType="separate"/>
      </w:r>
      <w:bookmarkStart w:id="103" w:name="_Toc90910510"/>
      <w:r>
        <w:rPr>
          <w:rFonts w:hint="eastAsia" w:ascii="方正黑体_GBK" w:eastAsia="方正黑体_GBK"/>
          <w:b w:val="0"/>
          <w:color w:val="000000" w:themeColor="text1"/>
          <w:kern w:val="0"/>
        </w:rPr>
        <w:t>五、</w:t>
      </w:r>
      <w:r>
        <w:rPr>
          <w:rFonts w:hint="eastAsia" w:ascii="方正黑体_GBK" w:eastAsia="方正黑体_GBK"/>
          <w:b w:val="0"/>
          <w:color w:val="000000" w:themeColor="text1"/>
          <w:kern w:val="0"/>
        </w:rPr>
        <w:fldChar w:fldCharType="end"/>
      </w:r>
      <w:r>
        <w:rPr>
          <w:rFonts w:ascii="方正黑体_GBK" w:eastAsia="方正黑体_GBK"/>
          <w:b w:val="0"/>
          <w:color w:val="000000" w:themeColor="text1"/>
          <w:kern w:val="0"/>
        </w:rPr>
        <w:t>高标准推进城市</w:t>
      </w:r>
      <w:r>
        <w:rPr>
          <w:rFonts w:hint="eastAsia" w:ascii="方正黑体_GBK" w:eastAsia="方正黑体_GBK"/>
          <w:b w:val="0"/>
          <w:color w:val="000000" w:themeColor="text1"/>
          <w:kern w:val="0"/>
        </w:rPr>
        <w:t>更新</w:t>
      </w:r>
      <w:bookmarkEnd w:id="103"/>
    </w:p>
    <w:p>
      <w:pPr>
        <w:spacing w:line="580" w:lineRule="exact"/>
        <w:ind w:firstLine="640" w:firstLineChars="200"/>
        <w:rPr>
          <w:rFonts w:ascii="方正黑体_GBK" w:eastAsia="方正黑体_GBK"/>
          <w:bCs/>
          <w:color w:val="000000" w:themeColor="text1"/>
          <w:kern w:val="0"/>
          <w:sz w:val="28"/>
          <w:szCs w:val="28"/>
        </w:rPr>
      </w:pPr>
      <w:r>
        <w:rPr>
          <w:rFonts w:hint="eastAsia" w:ascii="方正仿宋_GBK" w:hAnsi="方正仿宋_GBK" w:eastAsia="方正仿宋_GBK" w:cs="方正仿宋_GBK"/>
          <w:bCs/>
          <w:color w:val="000000" w:themeColor="text1"/>
          <w:kern w:val="0"/>
          <w:sz w:val="32"/>
          <w:szCs w:val="32"/>
        </w:rPr>
        <w:t>实施城市更新行动，统筹推进新城开发和旧城提档升级，建设景城乡深度融合的现代城市。开展城市体检，探索城市更新与生态恢复、公共服务完善等有机结合的模式。建设绿色人文城市，把中医药文化、茶文化、竹文化等南川优秀文化元素植入城市街区，退足道路红线、留足水体蓝线、让出园林绿线，加大公园、绿道绿廊等规划建设力度，构建以雕塑、园林、小品构成的具有南川人文特色的城市景观。</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表3-22南川区城市更新建设规划表</w:t>
      </w:r>
    </w:p>
    <w:tbl>
      <w:tblPr>
        <w:tblStyle w:val="17"/>
        <w:tblW w:w="5000" w:type="pct"/>
        <w:tblInd w:w="0" w:type="dxa"/>
        <w:tblLayout w:type="fixed"/>
        <w:tblCellMar>
          <w:top w:w="0" w:type="dxa"/>
          <w:left w:w="108" w:type="dxa"/>
          <w:bottom w:w="0" w:type="dxa"/>
          <w:right w:w="108" w:type="dxa"/>
        </w:tblCellMar>
      </w:tblPr>
      <w:tblGrid>
        <w:gridCol w:w="691"/>
        <w:gridCol w:w="1057"/>
        <w:gridCol w:w="3586"/>
        <w:gridCol w:w="1451"/>
        <w:gridCol w:w="1305"/>
        <w:gridCol w:w="631"/>
      </w:tblGrid>
      <w:tr>
        <w:tblPrEx>
          <w:tblCellMar>
            <w:top w:w="0" w:type="dxa"/>
            <w:left w:w="108" w:type="dxa"/>
            <w:bottom w:w="0" w:type="dxa"/>
            <w:right w:w="108" w:type="dxa"/>
          </w:tblCellMar>
        </w:tblPrEx>
        <w:trPr>
          <w:trHeight w:val="686" w:hRule="atLeast"/>
          <w:tblHeader/>
        </w:trPr>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6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05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83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建设年限</w:t>
            </w:r>
          </w:p>
        </w:tc>
        <w:tc>
          <w:tcPr>
            <w:tcW w:w="74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项目总投资（万元）</w:t>
            </w:r>
          </w:p>
        </w:tc>
        <w:tc>
          <w:tcPr>
            <w:tcW w:w="36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CellMar>
            <w:top w:w="0" w:type="dxa"/>
            <w:left w:w="108" w:type="dxa"/>
            <w:bottom w:w="0" w:type="dxa"/>
            <w:right w:w="108" w:type="dxa"/>
          </w:tblCellMar>
        </w:tblPrEx>
        <w:trPr>
          <w:trHeight w:val="270" w:hRule="atLeast"/>
        </w:trPr>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棚户区改造工程</w:t>
            </w:r>
          </w:p>
        </w:tc>
        <w:tc>
          <w:tcPr>
            <w:tcW w:w="20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360" w:lineRule="atLeast"/>
              <w:jc w:val="left"/>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实施棚户区改造30万平方米，包括：东街片区、中心农贸市场片区、公路养护队片区、龚家塘片区、六角楼片区、劳技校片区、黄泥堡片区、书院中学片区、北环路片区、长远金佛居委片区。</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750000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　</w:t>
            </w:r>
          </w:p>
        </w:tc>
      </w:tr>
      <w:tr>
        <w:tblPrEx>
          <w:tblCellMar>
            <w:top w:w="0" w:type="dxa"/>
            <w:left w:w="108" w:type="dxa"/>
            <w:bottom w:w="0" w:type="dxa"/>
            <w:right w:w="108" w:type="dxa"/>
          </w:tblCellMar>
        </w:tblPrEx>
        <w:trPr>
          <w:trHeight w:val="270" w:hRule="atLeast"/>
        </w:trPr>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老旧小区改造工程</w:t>
            </w:r>
          </w:p>
        </w:tc>
        <w:tc>
          <w:tcPr>
            <w:tcW w:w="20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360" w:lineRule="atLeast"/>
              <w:jc w:val="left"/>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主体改造内容包括：建筑外立面改造、建筑消防设施改造、房屋楼顶防水、楼梯通道粉刷、扶手更换、管线规整、刷漆、停车库（场）、安装电梯等。环境提升改造包括：景观绿化提升改造、道路改造、市政雨污水管网改造、停车库（场）、电梯、停车库（场）、夜景照明等。规模：完成北街商场片区、盛丰源小区、世纪广场、人民医院家属院、人大家属院、火车站家属院、东方市场等老旧小区改造工程，适时启动南平煤矿家属院片区、三圣路南园片区、西大街夏家巷片区等54个老旧小区改造工程。</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2021-2025</w:t>
            </w:r>
          </w:p>
        </w:tc>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21600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　</w:t>
            </w:r>
          </w:p>
        </w:tc>
      </w:tr>
      <w:tr>
        <w:tblPrEx>
          <w:tblCellMar>
            <w:top w:w="0" w:type="dxa"/>
            <w:left w:w="108" w:type="dxa"/>
            <w:bottom w:w="0" w:type="dxa"/>
            <w:right w:w="108" w:type="dxa"/>
          </w:tblCellMar>
        </w:tblPrEx>
        <w:trPr>
          <w:trHeight w:val="270" w:hRule="atLeast"/>
        </w:trPr>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东街及半溪河城市更新综合整治提升项目</w:t>
            </w:r>
          </w:p>
        </w:tc>
        <w:tc>
          <w:tcPr>
            <w:tcW w:w="20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360" w:lineRule="atLeast"/>
              <w:jc w:val="left"/>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一是保留修缮刘邓大军指挥部，打造红色文化教育基地；二是优化改造社区创新创业基地、社区邻里中心、养老服务中心、智能停车及充电桩、老旧小区环境品质、半溪河污水管混接错接；三是拆旧新建安居工程、创业人才公寓、儿童主题公园、东街记忆文化博览园、文旅集散服务中心、半溪河两岸绿道、道路及雨污管网.</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2019-2024</w:t>
            </w:r>
          </w:p>
        </w:tc>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352000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p>
        </w:tc>
      </w:tr>
      <w:tr>
        <w:tblPrEx>
          <w:tblCellMar>
            <w:top w:w="0" w:type="dxa"/>
            <w:left w:w="108" w:type="dxa"/>
            <w:bottom w:w="0" w:type="dxa"/>
            <w:right w:w="108" w:type="dxa"/>
          </w:tblCellMar>
        </w:tblPrEx>
        <w:trPr>
          <w:trHeight w:val="270" w:hRule="atLeast"/>
        </w:trPr>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东城片区城市更新项目</w:t>
            </w:r>
          </w:p>
        </w:tc>
        <w:tc>
          <w:tcPr>
            <w:tcW w:w="20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360" w:lineRule="atLeast"/>
              <w:jc w:val="left"/>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一、保护修缮3处：建筑面积</w:t>
            </w:r>
            <w:r>
              <w:rPr>
                <w:rFonts w:ascii="方正黑体_GBK" w:eastAsia="方正黑体_GBK"/>
                <w:bCs/>
                <w:color w:val="000000" w:themeColor="text1"/>
                <w:kern w:val="0"/>
                <w:szCs w:val="21"/>
              </w:rPr>
              <w:t>0.16</w:t>
            </w:r>
            <w:r>
              <w:rPr>
                <w:rFonts w:hint="eastAsia" w:ascii="方正黑体_GBK" w:eastAsia="方正黑体_GBK"/>
                <w:bCs/>
                <w:color w:val="000000" w:themeColor="text1"/>
                <w:kern w:val="0"/>
                <w:szCs w:val="21"/>
              </w:rPr>
              <w:t xml:space="preserve">万㎡，其中市级文保单位——刘邓大军指挥部，涉及3栋保护修缮建筑，面积919㎡； 区级文保单位——廻澜桥长亭，涉及1栋保护修缮建筑，面积 300㎡；烈士陵园涉及4栋保护修缮建筑，面积400㎡； </w:t>
            </w:r>
          </w:p>
          <w:p>
            <w:pPr>
              <w:keepNext w:val="0"/>
              <w:keepLines w:val="0"/>
              <w:pageBreakBefore w:val="0"/>
              <w:widowControl w:val="0"/>
              <w:kinsoku/>
              <w:wordWrap/>
              <w:overflowPunct/>
              <w:topLinePunct w:val="0"/>
              <w:autoSpaceDE/>
              <w:autoSpaceDN/>
              <w:bidi w:val="0"/>
              <w:adjustRightInd/>
              <w:snapToGrid w:val="0"/>
              <w:spacing w:line="360" w:lineRule="atLeast"/>
              <w:jc w:val="left"/>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二、改造提升</w:t>
            </w:r>
            <w:r>
              <w:rPr>
                <w:rFonts w:ascii="方正黑体_GBK" w:eastAsia="方正黑体_GBK"/>
                <w:bCs/>
                <w:color w:val="000000" w:themeColor="text1"/>
                <w:kern w:val="0"/>
                <w:szCs w:val="21"/>
              </w:rPr>
              <w:t>27</w:t>
            </w:r>
            <w:r>
              <w:rPr>
                <w:rFonts w:hint="eastAsia" w:ascii="方正黑体_GBK" w:eastAsia="方正黑体_GBK"/>
                <w:bCs/>
                <w:color w:val="000000" w:themeColor="text1"/>
                <w:kern w:val="0"/>
                <w:szCs w:val="21"/>
              </w:rPr>
              <w:t>处：建筑面积</w:t>
            </w:r>
            <w:r>
              <w:rPr>
                <w:rFonts w:ascii="方正黑体_GBK" w:eastAsia="方正黑体_GBK"/>
                <w:bCs/>
                <w:color w:val="000000" w:themeColor="text1"/>
                <w:kern w:val="0"/>
                <w:szCs w:val="21"/>
              </w:rPr>
              <w:t>111.98</w:t>
            </w:r>
            <w:r>
              <w:rPr>
                <w:rFonts w:hint="eastAsia" w:ascii="方正黑体_GBK" w:eastAsia="方正黑体_GBK"/>
                <w:bCs/>
                <w:color w:val="000000" w:themeColor="text1"/>
                <w:kern w:val="0"/>
                <w:szCs w:val="21"/>
              </w:rPr>
              <w:t xml:space="preserve">万㎡，其中涉及15个老旧小区397栋建筑，面积86.18万㎡；涉及143栋公共建 筑，面积15.84万㎡，涉及483栋其他建筑，面积9.96万㎡； </w:t>
            </w:r>
          </w:p>
          <w:p>
            <w:pPr>
              <w:keepNext w:val="0"/>
              <w:keepLines w:val="0"/>
              <w:pageBreakBefore w:val="0"/>
              <w:widowControl w:val="0"/>
              <w:kinsoku/>
              <w:wordWrap/>
              <w:overflowPunct/>
              <w:topLinePunct w:val="0"/>
              <w:autoSpaceDE/>
              <w:autoSpaceDN/>
              <w:bidi w:val="0"/>
              <w:adjustRightInd/>
              <w:snapToGrid w:val="0"/>
              <w:spacing w:line="360" w:lineRule="atLeast"/>
              <w:jc w:val="left"/>
              <w:textAlignment w:val="auto"/>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三、拆旧建新</w:t>
            </w:r>
            <w:r>
              <w:rPr>
                <w:rFonts w:ascii="方正黑体_GBK" w:eastAsia="方正黑体_GBK"/>
                <w:bCs/>
                <w:color w:val="000000" w:themeColor="text1"/>
                <w:kern w:val="0"/>
                <w:szCs w:val="21"/>
              </w:rPr>
              <w:t>20</w:t>
            </w:r>
            <w:r>
              <w:rPr>
                <w:rFonts w:hint="eastAsia" w:ascii="方正黑体_GBK" w:eastAsia="方正黑体_GBK"/>
                <w:bCs/>
                <w:color w:val="000000" w:themeColor="text1"/>
                <w:kern w:val="0"/>
                <w:szCs w:val="21"/>
              </w:rPr>
              <w:t>处：拆除建筑</w:t>
            </w:r>
            <w:r>
              <w:rPr>
                <w:rFonts w:ascii="方正黑体_GBK" w:eastAsia="方正黑体_GBK"/>
                <w:bCs/>
                <w:color w:val="000000" w:themeColor="text1"/>
                <w:kern w:val="0"/>
                <w:szCs w:val="21"/>
              </w:rPr>
              <w:t>90.73</w:t>
            </w:r>
            <w:r>
              <w:rPr>
                <w:rFonts w:hint="eastAsia" w:ascii="方正黑体_GBK" w:eastAsia="方正黑体_GBK"/>
                <w:bCs/>
                <w:color w:val="000000" w:themeColor="text1"/>
                <w:kern w:val="0"/>
                <w:szCs w:val="21"/>
              </w:rPr>
              <w:t>万㎡，主要为棚户区，共2993栋；新建建筑</w:t>
            </w:r>
            <w:r>
              <w:rPr>
                <w:rFonts w:ascii="方正黑体_GBK" w:eastAsia="方正黑体_GBK"/>
                <w:bCs/>
                <w:color w:val="000000" w:themeColor="text1"/>
                <w:kern w:val="0"/>
                <w:szCs w:val="21"/>
              </w:rPr>
              <w:t>139.85</w:t>
            </w:r>
            <w:r>
              <w:rPr>
                <w:rFonts w:hint="eastAsia" w:ascii="方正黑体_GBK" w:eastAsia="方正黑体_GBK"/>
                <w:bCs/>
                <w:color w:val="000000" w:themeColor="text1"/>
                <w:kern w:val="0"/>
                <w:szCs w:val="21"/>
              </w:rPr>
              <w:t>万㎡，主要涉及安居工程、公共服务设施等，共计432栋。</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2023-2030</w:t>
            </w:r>
          </w:p>
        </w:tc>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860000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440" w:lineRule="exact"/>
              <w:jc w:val="center"/>
              <w:rPr>
                <w:rFonts w:ascii="方正黑体_GBK" w:eastAsia="方正黑体_GBK"/>
                <w:bCs/>
                <w:color w:val="000000" w:themeColor="text1"/>
                <w:kern w:val="0"/>
                <w:szCs w:val="21"/>
              </w:rPr>
            </w:pPr>
          </w:p>
        </w:tc>
      </w:tr>
    </w:tbl>
    <w:p>
      <w:pPr>
        <w:pStyle w:val="4"/>
        <w:spacing w:line="580" w:lineRule="exact"/>
        <w:jc w:val="center"/>
        <w:rPr>
          <w:rFonts w:ascii="方正黑体_GBK" w:eastAsia="方正黑体_GBK"/>
          <w:b w:val="0"/>
          <w:bCs w:val="0"/>
          <w:color w:val="000000" w:themeColor="text1"/>
          <w:kern w:val="0"/>
        </w:rPr>
      </w:pPr>
      <w:r>
        <w:fldChar w:fldCharType="begin"/>
      </w:r>
      <w:r>
        <w:instrText xml:space="preserve"> HYPERLINK \l "_Toc57993020" </w:instrText>
      </w:r>
      <w:r>
        <w:fldChar w:fldCharType="separate"/>
      </w:r>
      <w:bookmarkStart w:id="104" w:name="_Toc90910511"/>
      <w:r>
        <w:rPr>
          <w:rFonts w:hint="eastAsia" w:ascii="方正黑体_GBK" w:eastAsia="方正黑体_GBK"/>
          <w:b w:val="0"/>
          <w:bCs w:val="0"/>
          <w:color w:val="000000" w:themeColor="text1"/>
          <w:kern w:val="0"/>
        </w:rPr>
        <w:t>第五节 布局新型城市智慧基础设施</w:t>
      </w:r>
      <w:bookmarkEnd w:id="104"/>
      <w:r>
        <w:rPr>
          <w:rFonts w:hint="eastAsia" w:ascii="方正黑体_GBK" w:eastAsia="方正黑体_GBK"/>
          <w:b w:val="0"/>
          <w:bCs w:val="0"/>
          <w:color w:val="000000" w:themeColor="text1"/>
          <w:kern w:val="0"/>
        </w:rPr>
        <w:fldChar w:fldCharType="end"/>
      </w:r>
    </w:p>
    <w:p>
      <w:pPr>
        <w:pStyle w:val="5"/>
        <w:spacing w:before="0" w:after="0" w:line="580" w:lineRule="exact"/>
        <w:ind w:firstLine="643" w:firstLineChars="200"/>
        <w:rPr>
          <w:rFonts w:ascii="方正黑体_GBK" w:eastAsia="方正黑体_GBK"/>
          <w:b w:val="0"/>
          <w:bCs w:val="0"/>
          <w:color w:val="000000" w:themeColor="text1"/>
          <w:kern w:val="0"/>
        </w:rPr>
      </w:pPr>
      <w:r>
        <w:fldChar w:fldCharType="begin"/>
      </w:r>
      <w:r>
        <w:instrText xml:space="preserve"> HYPERLINK \l "_Toc57993021" </w:instrText>
      </w:r>
      <w:r>
        <w:fldChar w:fldCharType="separate"/>
      </w:r>
      <w:bookmarkStart w:id="105" w:name="_Toc90910512"/>
      <w:r>
        <w:rPr>
          <w:rFonts w:hint="eastAsia" w:ascii="方正黑体_GBK" w:eastAsia="方正黑体_GBK"/>
          <w:b w:val="0"/>
          <w:bCs w:val="0"/>
          <w:color w:val="000000" w:themeColor="text1"/>
          <w:kern w:val="0"/>
        </w:rPr>
        <w:t>一、</w:t>
      </w:r>
      <w:r>
        <w:rPr>
          <w:rFonts w:hint="eastAsia" w:ascii="方正黑体_GBK" w:eastAsia="方正黑体_GBK"/>
          <w:b w:val="0"/>
          <w:bCs w:val="0"/>
          <w:color w:val="000000" w:themeColor="text1"/>
          <w:kern w:val="0"/>
        </w:rPr>
        <w:fldChar w:fldCharType="end"/>
      </w:r>
      <w:r>
        <w:rPr>
          <w:rFonts w:hint="eastAsia" w:ascii="方正黑体_GBK" w:eastAsia="方正黑体_GBK"/>
          <w:b w:val="0"/>
          <w:bCs w:val="0"/>
          <w:color w:val="000000" w:themeColor="text1"/>
          <w:kern w:val="0"/>
        </w:rPr>
        <w:t>完善现代通信基础设施体系</w:t>
      </w:r>
      <w:bookmarkEnd w:id="105"/>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夯实通信基础设施，完善新一代高速光纤网络，城镇地区基本实现光网全覆盖，提供1000兆比特每秒以上接入服务能力，加快5G网络建设，建成先进的城市信息基础设施体系；加快构建高速、移动、安全的新一代通信基础设施。</w:t>
      </w:r>
    </w:p>
    <w:p>
      <w:pPr>
        <w:spacing w:line="580" w:lineRule="exact"/>
        <w:ind w:firstLine="640" w:firstLineChars="200"/>
        <w:rPr>
          <w:rFonts w:eastAsia="方正仿宋_GBK"/>
          <w:color w:val="000000" w:themeColor="text1"/>
          <w:kern w:val="0"/>
          <w:sz w:val="32"/>
          <w:szCs w:val="32"/>
        </w:rPr>
      </w:pPr>
      <w:r>
        <w:rPr>
          <w:rFonts w:eastAsia="方正仿宋_GBK"/>
          <w:color w:val="000000" w:themeColor="text1"/>
          <w:kern w:val="0"/>
          <w:sz w:val="32"/>
          <w:szCs w:val="32"/>
        </w:rPr>
        <w:t>推动 5G 基础设施建设，同时对现有公众互联网及专线网络进行升级改造，优先完善中心城区等区域 5G 网络体系，满足各类业务场景差异化应用需求。加快城乡光纤网络全覆盖，鼓励乡镇积极实施网络基础设施改造，提高城乡移动通信网络、固定宽带网络接入能力。到 2025年，实现全域 5G 网络全覆盖，乡村有线宽带全部光纤到户，农村信息网格化管理覆盖率达 100%。</w:t>
      </w:r>
    </w:p>
    <w:p>
      <w:pPr>
        <w:spacing w:line="580" w:lineRule="exact"/>
        <w:ind w:firstLine="480" w:firstLineChars="150"/>
        <w:rPr>
          <w:rFonts w:eastAsia="方正仿宋_GBK"/>
          <w:color w:val="000000" w:themeColor="text1"/>
          <w:kern w:val="0"/>
          <w:sz w:val="32"/>
          <w:szCs w:val="32"/>
        </w:rPr>
      </w:pPr>
      <w:r>
        <w:rPr>
          <w:rFonts w:eastAsia="方正仿宋_GBK"/>
          <w:color w:val="000000" w:themeColor="text1"/>
          <w:kern w:val="0"/>
          <w:sz w:val="32"/>
          <w:szCs w:val="32"/>
        </w:rPr>
        <w:t>至2025年，规划建设通信设施工程项目共5项，总投资0.89亿元。包括机房建设、5G基站、4G基站、驻地网等相关基础设施建设，有效提升区域通信水平，加快构建高速、移动、安全的新一代通信基础设施。</w:t>
      </w:r>
    </w:p>
    <w:p>
      <w:pPr>
        <w:spacing w:line="580" w:lineRule="exact"/>
        <w:ind w:firstLine="480" w:firstLineChars="150"/>
        <w:rPr>
          <w:rFonts w:eastAsia="方正仿宋_GBK"/>
          <w:color w:val="000000" w:themeColor="text1"/>
          <w:kern w:val="0"/>
          <w:sz w:val="32"/>
          <w:szCs w:val="32"/>
        </w:rPr>
      </w:pPr>
      <w:r>
        <w:rPr>
          <w:rFonts w:eastAsia="方正仿宋_GBK"/>
          <w:color w:val="000000" w:themeColor="text1"/>
          <w:kern w:val="0"/>
          <w:sz w:val="32"/>
          <w:szCs w:val="32"/>
        </w:rPr>
        <w:t>根据道路规划建设时序同步统筹规划设计实施弱电管网，预留弱电管网的通道，避免后期重复开挖。</w:t>
      </w:r>
    </w:p>
    <w:p>
      <w:pPr>
        <w:spacing w:line="580" w:lineRule="exact"/>
        <w:jc w:val="center"/>
        <w:rPr>
          <w:rFonts w:ascii="方正黑体_GBK" w:eastAsia="方正黑体_GBK"/>
          <w:color w:val="000000" w:themeColor="text1"/>
          <w:kern w:val="0"/>
          <w:sz w:val="32"/>
          <w:szCs w:val="32"/>
        </w:rPr>
      </w:pPr>
      <w:r>
        <w:rPr>
          <w:rFonts w:hint="eastAsia" w:ascii="方正黑体_GBK" w:eastAsia="方正黑体_GBK"/>
          <w:bCs/>
          <w:color w:val="000000" w:themeColor="text1"/>
          <w:kern w:val="0"/>
          <w:sz w:val="28"/>
          <w:szCs w:val="28"/>
        </w:rPr>
        <w:t>表3</w:t>
      </w:r>
      <w:r>
        <w:rPr>
          <w:rFonts w:ascii="方正黑体_GBK" w:eastAsia="方正黑体_GBK"/>
          <w:bCs/>
          <w:color w:val="000000" w:themeColor="text1"/>
          <w:kern w:val="0"/>
          <w:sz w:val="28"/>
          <w:szCs w:val="28"/>
        </w:rPr>
        <w:t>-</w:t>
      </w:r>
      <w:r>
        <w:rPr>
          <w:rFonts w:hint="eastAsia" w:ascii="方正黑体_GBK" w:eastAsia="方正黑体_GBK"/>
          <w:bCs/>
          <w:color w:val="000000" w:themeColor="text1"/>
          <w:kern w:val="0"/>
          <w:sz w:val="28"/>
          <w:szCs w:val="28"/>
        </w:rPr>
        <w:t>23南川区通信设施建设规划表</w:t>
      </w:r>
    </w:p>
    <w:tbl>
      <w:tblPr>
        <w:tblStyle w:val="18"/>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2417"/>
        <w:gridCol w:w="2250"/>
        <w:gridCol w:w="1400"/>
        <w:gridCol w:w="116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blHeader/>
        </w:trPr>
        <w:tc>
          <w:tcPr>
            <w:tcW w:w="5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41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5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0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1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5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417" w:type="dxa"/>
            <w:vAlign w:val="center"/>
          </w:tcPr>
          <w:p>
            <w:pPr>
              <w:widowControl/>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接入网机房新建项目</w:t>
            </w:r>
          </w:p>
        </w:tc>
        <w:tc>
          <w:tcPr>
            <w:tcW w:w="2250" w:type="dxa"/>
            <w:vAlign w:val="center"/>
          </w:tcPr>
          <w:p>
            <w:pPr>
              <w:widowControl/>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联通公司新建、搬迁传输设备20余套，新建光缆30余公里；电信新建4个机房及机柜、传输及电源等配套建设；移动新建第二中心机房及4个汇聚机房</w:t>
            </w:r>
          </w:p>
        </w:tc>
        <w:tc>
          <w:tcPr>
            <w:tcW w:w="1400" w:type="dxa"/>
            <w:vAlign w:val="center"/>
          </w:tcPr>
          <w:p>
            <w:pPr>
              <w:widowControl/>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168" w:type="dxa"/>
            <w:vAlign w:val="center"/>
          </w:tcPr>
          <w:p>
            <w:pPr>
              <w:widowControl/>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000</w:t>
            </w:r>
          </w:p>
        </w:tc>
        <w:tc>
          <w:tcPr>
            <w:tcW w:w="76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41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5G基站新建项目</w:t>
            </w:r>
          </w:p>
        </w:tc>
        <w:tc>
          <w:tcPr>
            <w:tcW w:w="225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新建城区5G基站400余个及配套管线</w:t>
            </w:r>
          </w:p>
        </w:tc>
        <w:tc>
          <w:tcPr>
            <w:tcW w:w="140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1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r>
              <w:rPr>
                <w:rFonts w:ascii="方正黑体_GBK" w:eastAsia="方正黑体_GBK"/>
                <w:bCs/>
                <w:color w:val="000000" w:themeColor="text1"/>
                <w:kern w:val="0"/>
                <w:szCs w:val="21"/>
              </w:rPr>
              <w:t>000</w:t>
            </w:r>
          </w:p>
        </w:tc>
        <w:tc>
          <w:tcPr>
            <w:tcW w:w="76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241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驻地网新建项目</w:t>
            </w:r>
          </w:p>
        </w:tc>
        <w:tc>
          <w:tcPr>
            <w:tcW w:w="225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新建楼盘FTTH端口6.5万个</w:t>
            </w:r>
          </w:p>
        </w:tc>
        <w:tc>
          <w:tcPr>
            <w:tcW w:w="140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1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900</w:t>
            </w:r>
          </w:p>
        </w:tc>
        <w:tc>
          <w:tcPr>
            <w:tcW w:w="76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w:t>
            </w:r>
          </w:p>
        </w:tc>
        <w:tc>
          <w:tcPr>
            <w:tcW w:w="241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景城乡融合发展连接通信管道项目</w:t>
            </w:r>
          </w:p>
        </w:tc>
        <w:tc>
          <w:tcPr>
            <w:tcW w:w="225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新建通信管道30管孔公里</w:t>
            </w:r>
          </w:p>
        </w:tc>
        <w:tc>
          <w:tcPr>
            <w:tcW w:w="140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1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50</w:t>
            </w:r>
          </w:p>
        </w:tc>
        <w:tc>
          <w:tcPr>
            <w:tcW w:w="76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4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5</w:t>
            </w:r>
          </w:p>
        </w:tc>
        <w:tc>
          <w:tcPr>
            <w:tcW w:w="2417"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4G基站优化新建项目</w:t>
            </w:r>
          </w:p>
        </w:tc>
        <w:tc>
          <w:tcPr>
            <w:tcW w:w="225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城区优化或新建4G基站约300个</w:t>
            </w:r>
          </w:p>
        </w:tc>
        <w:tc>
          <w:tcPr>
            <w:tcW w:w="1400"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r>
              <w:rPr>
                <w:rFonts w:ascii="方正黑体_GBK" w:eastAsia="方正黑体_GBK"/>
                <w:bCs/>
                <w:color w:val="000000" w:themeColor="text1"/>
                <w:kern w:val="0"/>
                <w:szCs w:val="21"/>
              </w:rPr>
              <w:t>021-2025</w:t>
            </w:r>
          </w:p>
        </w:tc>
        <w:tc>
          <w:tcPr>
            <w:tcW w:w="1168"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r>
              <w:rPr>
                <w:rFonts w:ascii="方正黑体_GBK" w:eastAsia="方正黑体_GBK"/>
                <w:bCs/>
                <w:color w:val="000000" w:themeColor="text1"/>
                <w:kern w:val="0"/>
                <w:szCs w:val="21"/>
              </w:rPr>
              <w:t>800</w:t>
            </w:r>
          </w:p>
        </w:tc>
        <w:tc>
          <w:tcPr>
            <w:tcW w:w="761" w:type="dxa"/>
            <w:vAlign w:val="center"/>
          </w:tcPr>
          <w:p>
            <w:pPr>
              <w:snapToGrid w:val="0"/>
              <w:spacing w:line="4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before="0" w:after="0" w:line="580" w:lineRule="exact"/>
        <w:ind w:firstLine="643" w:firstLineChars="200"/>
        <w:rPr>
          <w:b w:val="0"/>
          <w:color w:val="000000" w:themeColor="text1"/>
        </w:rPr>
      </w:pPr>
      <w:r>
        <w:fldChar w:fldCharType="begin"/>
      </w:r>
      <w:r>
        <w:instrText xml:space="preserve"> HYPERLINK \l "_Toc57993022" </w:instrText>
      </w:r>
      <w:r>
        <w:fldChar w:fldCharType="separate"/>
      </w:r>
      <w:bookmarkStart w:id="106" w:name="_Toc90910513"/>
      <w:r>
        <w:rPr>
          <w:rFonts w:hint="eastAsia" w:ascii="方正黑体_GBK" w:eastAsia="方正黑体_GBK"/>
          <w:b w:val="0"/>
          <w:color w:val="000000" w:themeColor="text1"/>
          <w:kern w:val="0"/>
        </w:rPr>
        <w:t>二、推进“智慧城市”新型基础设施建设</w:t>
      </w:r>
      <w:bookmarkEnd w:id="106"/>
      <w:r>
        <w:rPr>
          <w:rFonts w:hint="eastAsia" w:ascii="方正黑体_GBK" w:eastAsia="方正黑体_GBK"/>
          <w:b w:val="0"/>
          <w:color w:val="000000" w:themeColor="text1"/>
          <w:kern w:val="0"/>
        </w:rPr>
        <w:fldChar w:fldCharType="end"/>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以南川区经济社会发展需求为导向，聚焦大数据智能化创新深度发力，贯标全市“135”总体架构，与全市新型智慧城市建设协同联动，全力承接市级重点工程在我区落地见效，发展南川特色的智能化创新应用，构建与物理城市同生共存、虚实交互的数字孪生城市，开启全域感知、互联协同、数字运营、智能决策、运转高效的智慧城市发展新图景。一是打造智慧南川城市智能中枢，二是建设泛在智联数字基础设施，三是强化安全保障能力。</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表3-24南川区智慧城市建设规划表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87"/>
        <w:gridCol w:w="3621"/>
        <w:gridCol w:w="1325"/>
        <w:gridCol w:w="1083"/>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trPr>
        <w:tc>
          <w:tcPr>
            <w:tcW w:w="600"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1187"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362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325"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083"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7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00"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1187"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数据共享交换标准体系</w:t>
            </w:r>
          </w:p>
        </w:tc>
        <w:tc>
          <w:tcPr>
            <w:tcW w:w="362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对标“云长制”工作要求，一是普查政务数据资源家底，编制《南川区政务数据资源“三清单”》，有效助推政务数据资源汇聚，制定全区统一的政务数据资源共享交换规则与流程，区级各部门根据权责界定本部门政务数据资源的生产责任和使用权限，明确划分政务数据资源可共享类型及范围、不可共享类型及说明、需求类型等内容，确保各部门政务数据资源合理有序共享。</w:t>
            </w:r>
          </w:p>
        </w:tc>
        <w:tc>
          <w:tcPr>
            <w:tcW w:w="1325"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2022-2025</w:t>
            </w:r>
          </w:p>
        </w:tc>
        <w:tc>
          <w:tcPr>
            <w:tcW w:w="1083" w:type="dxa"/>
            <w:vAlign w:val="center"/>
          </w:tcPr>
          <w:p>
            <w:pPr>
              <w:snapToGrid w:val="0"/>
              <w:spacing w:line="380" w:lineRule="exact"/>
              <w:jc w:val="center"/>
              <w:rPr>
                <w:rFonts w:ascii="方正黑体_GBK" w:eastAsia="方正黑体_GBK"/>
                <w:bCs/>
                <w:color w:val="000000" w:themeColor="text1"/>
                <w:kern w:val="0"/>
                <w:szCs w:val="21"/>
              </w:rPr>
            </w:pPr>
          </w:p>
        </w:tc>
        <w:tc>
          <w:tcPr>
            <w:tcW w:w="77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00"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1187"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融合基础设施</w:t>
            </w:r>
          </w:p>
        </w:tc>
        <w:tc>
          <w:tcPr>
            <w:tcW w:w="362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加快城市骨干道路智慧灯杆、智慧交通综合平台、新能源汽车充电桩、多车型共享充换电示范站、智慧燃气、智慧水务、智慧气象“四天”系统等项目建设。</w:t>
            </w:r>
          </w:p>
        </w:tc>
        <w:tc>
          <w:tcPr>
            <w:tcW w:w="1325"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2022-2025</w:t>
            </w:r>
          </w:p>
        </w:tc>
        <w:tc>
          <w:tcPr>
            <w:tcW w:w="1083" w:type="dxa"/>
            <w:vAlign w:val="center"/>
          </w:tcPr>
          <w:p>
            <w:pPr>
              <w:snapToGrid w:val="0"/>
              <w:spacing w:line="380" w:lineRule="exact"/>
              <w:jc w:val="center"/>
              <w:rPr>
                <w:rFonts w:ascii="方正黑体_GBK" w:eastAsia="方正黑体_GBK"/>
                <w:bCs/>
                <w:color w:val="000000" w:themeColor="text1"/>
                <w:kern w:val="0"/>
                <w:szCs w:val="21"/>
              </w:rPr>
            </w:pPr>
          </w:p>
        </w:tc>
        <w:tc>
          <w:tcPr>
            <w:tcW w:w="77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00"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w:t>
            </w:r>
          </w:p>
        </w:tc>
        <w:tc>
          <w:tcPr>
            <w:tcW w:w="1187"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南川区智慧城管平台</w:t>
            </w:r>
          </w:p>
        </w:tc>
        <w:tc>
          <w:tcPr>
            <w:tcW w:w="362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加快建设智慧城管平台，建设智慧市政设施、智慧园林绿化、智慧环境卫生、智慧城管执法、城市综合管理服务系统，将智慧城管平台建设成为城市综合治理“一网统管”、城市运行安全“一屏通览”、融合智慧调度“一键联动”的有效载体。</w:t>
            </w:r>
          </w:p>
        </w:tc>
        <w:tc>
          <w:tcPr>
            <w:tcW w:w="1325"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2022-2025</w:t>
            </w:r>
          </w:p>
        </w:tc>
        <w:tc>
          <w:tcPr>
            <w:tcW w:w="1083"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3300</w:t>
            </w:r>
          </w:p>
        </w:tc>
        <w:tc>
          <w:tcPr>
            <w:tcW w:w="771" w:type="dxa"/>
            <w:vAlign w:val="center"/>
          </w:tcPr>
          <w:p>
            <w:pPr>
              <w:snapToGrid w:val="0"/>
              <w:spacing w:line="38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widowControl/>
        <w:spacing w:before="100" w:beforeAutospacing="1" w:after="100" w:afterAutospacing="1" w:line="580" w:lineRule="exact"/>
        <w:jc w:val="center"/>
        <w:outlineLvl w:val="1"/>
        <w:rPr>
          <w:rFonts w:ascii="方正黑体_GBK" w:eastAsia="方正黑体_GBK"/>
          <w:color w:val="000000" w:themeColor="text1"/>
          <w:kern w:val="0"/>
          <w:sz w:val="32"/>
          <w:szCs w:val="32"/>
        </w:rPr>
      </w:pPr>
      <w:r>
        <w:fldChar w:fldCharType="begin"/>
      </w:r>
      <w:r>
        <w:instrText xml:space="preserve"> HYPERLINK \l "_Toc57993023" </w:instrText>
      </w:r>
      <w:r>
        <w:fldChar w:fldCharType="separate"/>
      </w:r>
      <w:bookmarkStart w:id="107" w:name="_Toc90910514"/>
      <w:r>
        <w:rPr>
          <w:rFonts w:hint="eastAsia" w:ascii="方正黑体_GBK" w:eastAsia="方正黑体_GBK"/>
          <w:color w:val="000000" w:themeColor="text1"/>
          <w:kern w:val="0"/>
          <w:sz w:val="32"/>
          <w:szCs w:val="32"/>
        </w:rPr>
        <w:t>第六节 构建安全可靠的防灾减灾体系</w:t>
      </w:r>
      <w:bookmarkEnd w:id="107"/>
      <w:r>
        <w:rPr>
          <w:rFonts w:hint="eastAsia" w:ascii="方正黑体_GBK" w:eastAsia="方正黑体_GBK"/>
          <w:color w:val="000000" w:themeColor="text1"/>
          <w:kern w:val="0"/>
          <w:sz w:val="32"/>
          <w:szCs w:val="32"/>
        </w:rPr>
        <w:fldChar w:fldCharType="end"/>
      </w:r>
    </w:p>
    <w:p>
      <w:pPr>
        <w:pStyle w:val="5"/>
        <w:spacing w:before="0" w:after="0" w:line="580" w:lineRule="exact"/>
        <w:ind w:firstLine="643" w:firstLineChars="200"/>
        <w:rPr>
          <w:rFonts w:ascii="方正黑体_GBK" w:eastAsia="方正黑体_GBK"/>
          <w:bCs w:val="0"/>
          <w:color w:val="000000" w:themeColor="text1"/>
          <w:kern w:val="0"/>
        </w:rPr>
      </w:pPr>
      <w:r>
        <w:fldChar w:fldCharType="begin"/>
      </w:r>
      <w:r>
        <w:instrText xml:space="preserve"> HYPERLINK \l "_Toc57993024" </w:instrText>
      </w:r>
      <w:r>
        <w:fldChar w:fldCharType="separate"/>
      </w:r>
      <w:bookmarkStart w:id="108" w:name="_Toc90910515"/>
      <w:r>
        <w:rPr>
          <w:rFonts w:hint="eastAsia" w:ascii="方正黑体_GBK" w:hAnsi="方正黑体_GBK" w:eastAsia="方正黑体_GBK" w:cs="方正黑体_GBK"/>
          <w:b w:val="0"/>
          <w:color w:val="000000" w:themeColor="text1"/>
          <w:kern w:val="0"/>
        </w:rPr>
        <w:t>一、</w:t>
      </w:r>
      <w:r>
        <w:rPr>
          <w:rFonts w:hint="eastAsia" w:ascii="方正黑体_GBK" w:hAnsi="方正黑体_GBK" w:eastAsia="方正黑体_GBK" w:cs="方正黑体_GBK"/>
          <w:b w:val="0"/>
          <w:color w:val="000000" w:themeColor="text1"/>
          <w:kern w:val="0"/>
        </w:rPr>
        <w:fldChar w:fldCharType="end"/>
      </w:r>
      <w:r>
        <w:rPr>
          <w:rFonts w:hint="eastAsia" w:ascii="方正黑体_GBK" w:hAnsi="方正黑体_GBK" w:eastAsia="方正黑体_GBK" w:cs="方正黑体_GBK"/>
          <w:b w:val="0"/>
          <w:color w:val="000000" w:themeColor="text1"/>
          <w:kern w:val="0"/>
        </w:rPr>
        <w:t>统筹协调防洪减灾体系</w:t>
      </w:r>
      <w:bookmarkEnd w:id="108"/>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遵照“蓄泄兼筹、以泄为主”的方针，完善防洪区划，划定山洪重点防治区，加强防汛抗旱基础设施建设，大力推进防洪护岸综合整治工程，城区生态补水水源工程及其余城市防涝设施建设，提高防洪排涝水平，形成流域、区域、城镇统筹协调的防洪减灾体系。</w:t>
      </w:r>
    </w:p>
    <w:p>
      <w:pPr>
        <w:spacing w:line="580" w:lineRule="exact"/>
        <w:ind w:firstLine="640" w:firstLineChars="200"/>
        <w:jc w:val="left"/>
        <w:rPr>
          <w:rFonts w:ascii="方正楷体_GBK" w:hAnsi="方正楷体_GBK" w:eastAsia="方正楷体_GBK" w:cs="方正楷体_GBK"/>
          <w:bCs/>
          <w:color w:val="000000" w:themeColor="text1"/>
          <w:kern w:val="0"/>
          <w:sz w:val="32"/>
          <w:szCs w:val="32"/>
        </w:rPr>
      </w:pPr>
      <w:r>
        <w:rPr>
          <w:rFonts w:hint="eastAsia" w:ascii="方正楷体_GBK" w:hAnsi="方正楷体_GBK" w:eastAsia="方正楷体_GBK" w:cs="方正楷体_GBK"/>
          <w:bCs/>
          <w:color w:val="000000" w:themeColor="text1"/>
          <w:kern w:val="0"/>
          <w:sz w:val="32"/>
          <w:szCs w:val="32"/>
        </w:rPr>
        <w:t>（1）防洪工程措施</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对南川城区河道进行清淤、绿化，提高行洪能力；各河道以及排水渠底应维持天然河底，边坡尽可能的采用透水衬砌，恢复天然河道自净水的功能，并充分利用雨洪回灌地下水，可以有效地减小地表径流，从而抑制洪水的形成。在必要地段设置护岸、截洪沟等防洪排涝设施。现状防洪标准达不到要求的河段，应尽快建设防洪设施达到相应的防洪标准。</w:t>
      </w:r>
    </w:p>
    <w:p>
      <w:pPr>
        <w:spacing w:line="580" w:lineRule="exact"/>
        <w:ind w:firstLine="640" w:firstLineChars="200"/>
        <w:jc w:val="left"/>
        <w:rPr>
          <w:rFonts w:ascii="方正楷体_GBK" w:hAnsi="方正楷体_GBK" w:eastAsia="方正楷体_GBK" w:cs="方正楷体_GBK"/>
          <w:bCs/>
          <w:color w:val="000000" w:themeColor="text1"/>
          <w:kern w:val="0"/>
          <w:sz w:val="32"/>
          <w:szCs w:val="32"/>
        </w:rPr>
      </w:pPr>
      <w:r>
        <w:rPr>
          <w:rFonts w:hint="eastAsia" w:ascii="方正楷体_GBK" w:hAnsi="方正楷体_GBK" w:eastAsia="方正楷体_GBK" w:cs="方正楷体_GBK"/>
          <w:bCs/>
          <w:color w:val="000000" w:themeColor="text1"/>
          <w:kern w:val="0"/>
          <w:sz w:val="32"/>
          <w:szCs w:val="32"/>
        </w:rPr>
        <w:t>（2）防洪非工程措施</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加强南川城区段河流水系的水生态治理，做好水土保持工作，提高城区及周边植被覆盖率，减少地表径流，降低山洪的形成几率。气象部门在雨季应密切关注天气变化情况，做好预报工作，相关部门应做好应急预案，建立科学合理的应急措施。</w:t>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到2025年，城区新建凤嘴江河流综合治理项目，包括凤嘴江上段防洪河堤工程7.29公里，共投资5832万元。</w:t>
      </w:r>
    </w:p>
    <w:p>
      <w:pPr>
        <w:spacing w:line="580" w:lineRule="exact"/>
        <w:ind w:firstLine="560" w:firstLineChars="200"/>
        <w:jc w:val="center"/>
        <w:rPr>
          <w:rFonts w:ascii="方正黑体_GBK" w:eastAsia="方正黑体_GBK"/>
          <w:bCs/>
          <w:color w:val="000000" w:themeColor="text1"/>
          <w:kern w:val="0"/>
          <w:sz w:val="28"/>
          <w:szCs w:val="28"/>
        </w:rPr>
      </w:pP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表3-25南川区城市防洪设施建设规划表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010"/>
        <w:gridCol w:w="2268"/>
        <w:gridCol w:w="1494"/>
        <w:gridCol w:w="139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9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凤嘴江河流综合治理（凤嘴江上段防洪河堤工程）</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全长7.29公里</w:t>
            </w:r>
          </w:p>
        </w:tc>
        <w:tc>
          <w:tcPr>
            <w:tcW w:w="149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2022-2024</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ascii="方正黑体_GBK" w:eastAsia="方正黑体_GBK"/>
                <w:bCs/>
                <w:color w:val="000000" w:themeColor="text1"/>
                <w:kern w:val="0"/>
                <w:szCs w:val="21"/>
              </w:rPr>
              <w:t>5832</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before="0" w:after="0" w:line="580" w:lineRule="exact"/>
        <w:ind w:firstLine="643" w:firstLineChars="200"/>
        <w:rPr>
          <w:rFonts w:ascii="方正黑体_GBK" w:eastAsia="方正黑体_GBK"/>
          <w:bCs w:val="0"/>
          <w:color w:val="000000" w:themeColor="text1"/>
          <w:kern w:val="0"/>
        </w:rPr>
      </w:pPr>
      <w:r>
        <w:fldChar w:fldCharType="begin"/>
      </w:r>
      <w:r>
        <w:instrText xml:space="preserve"> HYPERLINK \l "_Toc57993025" </w:instrText>
      </w:r>
      <w:r>
        <w:fldChar w:fldCharType="separate"/>
      </w:r>
      <w:bookmarkStart w:id="109" w:name="_Toc90910516"/>
      <w:r>
        <w:rPr>
          <w:rFonts w:hint="eastAsia" w:ascii="方正黑体_GBK" w:eastAsia="方正黑体_GBK"/>
          <w:b w:val="0"/>
          <w:color w:val="000000" w:themeColor="text1"/>
          <w:kern w:val="0"/>
        </w:rPr>
        <w:t>二、</w:t>
      </w:r>
      <w:r>
        <w:rPr>
          <w:rFonts w:hint="eastAsia" w:ascii="方正黑体_GBK" w:eastAsia="方正黑体_GBK"/>
          <w:b w:val="0"/>
          <w:color w:val="000000" w:themeColor="text1"/>
          <w:kern w:val="0"/>
        </w:rPr>
        <w:fldChar w:fldCharType="end"/>
      </w:r>
      <w:r>
        <w:rPr>
          <w:rFonts w:hint="eastAsia" w:ascii="方正黑体_GBK" w:eastAsia="方正黑体_GBK"/>
          <w:b w:val="0"/>
          <w:color w:val="000000" w:themeColor="text1"/>
          <w:kern w:val="0"/>
        </w:rPr>
        <w:t>构建现代化综合消防救援体系</w:t>
      </w:r>
      <w:bookmarkEnd w:id="109"/>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建立完善的城镇消防救援体系和技术先进、功能完善的现代化消防通信调度指挥系统。根据均衡布点与重点防护相结合的原则，调整优化城市消防站、市政消火栓等布局，推进各类专勤消防车和特种装备配备。实现全区范围的城镇市政消火栓建有率达到100%，完好率达到98%。</w:t>
      </w:r>
    </w:p>
    <w:p>
      <w:pPr>
        <w:spacing w:line="580" w:lineRule="exact"/>
        <w:ind w:firstLine="640" w:firstLineChars="200"/>
        <w:jc w:val="left"/>
        <w:rPr>
          <w:rFonts w:ascii="方正黑体_GBK" w:eastAsia="方正黑体_GBK"/>
          <w:bCs/>
          <w:color w:val="000000" w:themeColor="text1"/>
          <w:kern w:val="0"/>
          <w:sz w:val="32"/>
          <w:szCs w:val="32"/>
        </w:rPr>
      </w:pPr>
      <w:r>
        <w:rPr>
          <w:rFonts w:eastAsia="方正仿宋_GBK"/>
          <w:bCs/>
          <w:color w:val="000000" w:themeColor="text1"/>
          <w:kern w:val="0"/>
          <w:sz w:val="32"/>
          <w:szCs w:val="32"/>
        </w:rPr>
        <w:t>构建智慧消防平台。由</w:t>
      </w:r>
      <w:r>
        <w:rPr>
          <w:rFonts w:hint="eastAsia" w:eastAsia="方正仿宋_GBK"/>
          <w:bCs/>
          <w:color w:val="000000" w:themeColor="text1"/>
          <w:kern w:val="0"/>
          <w:sz w:val="32"/>
          <w:szCs w:val="32"/>
        </w:rPr>
        <w:t>区</w:t>
      </w:r>
      <w:r>
        <w:rPr>
          <w:rFonts w:eastAsia="方正仿宋_GBK"/>
          <w:bCs/>
          <w:color w:val="000000" w:themeColor="text1"/>
          <w:kern w:val="0"/>
          <w:sz w:val="32"/>
          <w:szCs w:val="32"/>
        </w:rPr>
        <w:t>消防救援支队牵头推进城市消防远程监控系统建设，建立城市消防大数据库，推进消防基础信息系统、消防决策指挥决策支持系统、火灾预警防控系统、消防信息综合服务系统等，实现智慧消防建设。</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表3-26南川区城市消防设施建设规划表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010"/>
        <w:gridCol w:w="2268"/>
        <w:gridCol w:w="1494"/>
        <w:gridCol w:w="139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9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10"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智慧消防平台</w:t>
            </w:r>
          </w:p>
        </w:tc>
        <w:tc>
          <w:tcPr>
            <w:tcW w:w="2268"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城市消防远程监控系统建设等</w:t>
            </w:r>
          </w:p>
        </w:tc>
        <w:tc>
          <w:tcPr>
            <w:tcW w:w="1494"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2022-2025</w:t>
            </w:r>
          </w:p>
        </w:tc>
        <w:tc>
          <w:tcPr>
            <w:tcW w:w="1399"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1600</w:t>
            </w:r>
          </w:p>
        </w:tc>
        <w:tc>
          <w:tcPr>
            <w:tcW w:w="766" w:type="dxa"/>
            <w:vAlign w:val="center"/>
          </w:tcPr>
          <w:p>
            <w:pPr>
              <w:snapToGrid w:val="0"/>
              <w:spacing w:line="44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pStyle w:val="5"/>
        <w:spacing w:before="0" w:after="0" w:line="580" w:lineRule="exact"/>
        <w:ind w:firstLine="643" w:firstLineChars="200"/>
        <w:rPr>
          <w:rFonts w:ascii="方正黑体_GBK" w:eastAsia="方正黑体_GBK"/>
          <w:bCs w:val="0"/>
          <w:color w:val="000000" w:themeColor="text1"/>
          <w:kern w:val="0"/>
        </w:rPr>
      </w:pPr>
      <w:r>
        <w:fldChar w:fldCharType="begin"/>
      </w:r>
      <w:r>
        <w:instrText xml:space="preserve"> HYPERLINK \l "_Toc57993026" </w:instrText>
      </w:r>
      <w:r>
        <w:fldChar w:fldCharType="separate"/>
      </w:r>
      <w:bookmarkStart w:id="110" w:name="_Toc90910517"/>
      <w:r>
        <w:rPr>
          <w:rFonts w:hint="eastAsia" w:ascii="方正黑体_GBK" w:eastAsia="方正黑体_GBK"/>
          <w:b w:val="0"/>
          <w:color w:val="000000" w:themeColor="text1"/>
          <w:kern w:val="0"/>
        </w:rPr>
        <w:t>三、</w:t>
      </w:r>
      <w:r>
        <w:rPr>
          <w:rFonts w:hint="eastAsia" w:ascii="方正黑体_GBK" w:eastAsia="方正黑体_GBK"/>
          <w:b w:val="0"/>
          <w:color w:val="000000" w:themeColor="text1"/>
          <w:kern w:val="0"/>
        </w:rPr>
        <w:fldChar w:fldCharType="end"/>
      </w:r>
      <w:r>
        <w:rPr>
          <w:rFonts w:hint="eastAsia" w:ascii="方正黑体_GBK" w:eastAsia="方正黑体_GBK"/>
          <w:b w:val="0"/>
          <w:color w:val="000000" w:themeColor="text1"/>
          <w:kern w:val="0"/>
        </w:rPr>
        <w:t>形成现代化人民防空体系</w:t>
      </w:r>
      <w:bookmarkEnd w:id="110"/>
    </w:p>
    <w:p>
      <w:pPr>
        <w:spacing w:line="580" w:lineRule="exact"/>
        <w:ind w:firstLine="640" w:firstLineChars="200"/>
        <w:jc w:val="left"/>
        <w:rPr>
          <w:rFonts w:ascii="方正黑体_GBK" w:eastAsia="方正黑体_GBK"/>
          <w:bCs/>
          <w:color w:val="000000" w:themeColor="text1"/>
          <w:kern w:val="0"/>
          <w:sz w:val="32"/>
          <w:szCs w:val="32"/>
        </w:rPr>
      </w:pPr>
      <w:r>
        <w:rPr>
          <w:rFonts w:eastAsia="方正仿宋_GBK"/>
          <w:bCs/>
          <w:color w:val="000000" w:themeColor="text1"/>
          <w:kern w:val="0"/>
          <w:sz w:val="32"/>
          <w:szCs w:val="32"/>
        </w:rPr>
        <w:t>规划战时留城人口为城区人口的40%，按留城人口的7%配备人防专业队。合理划分防空片区，各片区人防报警系统覆盖率达到100%。到2025年，结合《重庆市南川区应急避难场所布局规划》，重点建设北师大附属学校避难场、中央花园小游园避难场等</w:t>
      </w:r>
      <w:r>
        <w:rPr>
          <w:rFonts w:hint="eastAsia" w:eastAsia="方正仿宋_GBK"/>
          <w:bCs/>
          <w:color w:val="000000" w:themeColor="text1"/>
          <w:kern w:val="0"/>
          <w:sz w:val="32"/>
          <w:szCs w:val="32"/>
        </w:rPr>
        <w:t>2</w:t>
      </w:r>
      <w:r>
        <w:rPr>
          <w:rFonts w:eastAsia="方正仿宋_GBK"/>
          <w:bCs/>
          <w:color w:val="000000" w:themeColor="text1"/>
          <w:kern w:val="0"/>
          <w:sz w:val="32"/>
          <w:szCs w:val="32"/>
        </w:rPr>
        <w:t>处应急避难场所，有效避难面积增加</w:t>
      </w:r>
      <w:r>
        <w:rPr>
          <w:rFonts w:hint="eastAsia" w:eastAsia="方正仿宋_GBK"/>
          <w:bCs/>
          <w:color w:val="000000" w:themeColor="text1"/>
          <w:kern w:val="0"/>
          <w:sz w:val="32"/>
          <w:szCs w:val="32"/>
        </w:rPr>
        <w:t>15.32</w:t>
      </w:r>
      <w:r>
        <w:rPr>
          <w:rFonts w:eastAsia="方正仿宋_GBK"/>
          <w:bCs/>
          <w:color w:val="000000" w:themeColor="text1"/>
          <w:kern w:val="0"/>
          <w:sz w:val="32"/>
          <w:szCs w:val="32"/>
        </w:rPr>
        <w:t>公顷。</w:t>
      </w:r>
    </w:p>
    <w:p>
      <w:pPr>
        <w:spacing w:line="580" w:lineRule="exact"/>
        <w:ind w:firstLine="560" w:firstLineChars="200"/>
        <w:jc w:val="center"/>
        <w:rPr>
          <w:rFonts w:ascii="方正黑体_GBK" w:eastAsia="方正黑体_GBK"/>
          <w:bCs/>
          <w:color w:val="000000" w:themeColor="text1"/>
          <w:kern w:val="0"/>
          <w:sz w:val="28"/>
          <w:szCs w:val="28"/>
        </w:rPr>
      </w:pPr>
      <w:r>
        <w:rPr>
          <w:rFonts w:hint="eastAsia" w:ascii="方正黑体_GBK" w:eastAsia="方正黑体_GBK"/>
          <w:bCs/>
          <w:color w:val="000000" w:themeColor="text1"/>
          <w:kern w:val="0"/>
          <w:sz w:val="28"/>
          <w:szCs w:val="28"/>
        </w:rPr>
        <w:t>表3-27南川区人防工程设施建设规划表</w:t>
      </w:r>
    </w:p>
    <w:tbl>
      <w:tblPr>
        <w:tblStyle w:val="18"/>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010"/>
        <w:gridCol w:w="2268"/>
        <w:gridCol w:w="1494"/>
        <w:gridCol w:w="139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trPr>
        <w:tc>
          <w:tcPr>
            <w:tcW w:w="0" w:type="auto"/>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序号</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项目名称</w:t>
            </w:r>
          </w:p>
        </w:tc>
        <w:tc>
          <w:tcPr>
            <w:tcW w:w="2268"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建设内容</w:t>
            </w:r>
          </w:p>
        </w:tc>
        <w:tc>
          <w:tcPr>
            <w:tcW w:w="149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建设时间</w:t>
            </w:r>
          </w:p>
        </w:tc>
        <w:tc>
          <w:tcPr>
            <w:tcW w:w="1399"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投资估算</w:t>
            </w:r>
          </w:p>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(万元）</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1</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北师大附属学校避难场</w:t>
            </w:r>
          </w:p>
        </w:tc>
        <w:tc>
          <w:tcPr>
            <w:tcW w:w="2268"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有效避难面积15.05公顷</w:t>
            </w:r>
          </w:p>
        </w:tc>
        <w:tc>
          <w:tcPr>
            <w:tcW w:w="149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w:t>
            </w:r>
          </w:p>
        </w:tc>
        <w:tc>
          <w:tcPr>
            <w:tcW w:w="1399"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w:t>
            </w:r>
          </w:p>
        </w:tc>
        <w:tc>
          <w:tcPr>
            <w:tcW w:w="2010"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中央花园小游园避难场</w:t>
            </w:r>
          </w:p>
        </w:tc>
        <w:tc>
          <w:tcPr>
            <w:tcW w:w="2268"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有效避难面积0.27公顷</w:t>
            </w:r>
          </w:p>
        </w:tc>
        <w:tc>
          <w:tcPr>
            <w:tcW w:w="1494"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2022</w:t>
            </w:r>
          </w:p>
        </w:tc>
        <w:tc>
          <w:tcPr>
            <w:tcW w:w="1399"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w:t>
            </w:r>
          </w:p>
        </w:tc>
        <w:tc>
          <w:tcPr>
            <w:tcW w:w="766" w:type="dxa"/>
            <w:vAlign w:val="center"/>
          </w:tcPr>
          <w:p>
            <w:pPr>
              <w:snapToGrid w:val="0"/>
              <w:spacing w:line="500" w:lineRule="exact"/>
              <w:jc w:val="center"/>
              <w:rPr>
                <w:rFonts w:ascii="方正黑体_GBK" w:eastAsia="方正黑体_GBK"/>
                <w:bCs/>
                <w:color w:val="000000" w:themeColor="text1"/>
                <w:kern w:val="0"/>
                <w:szCs w:val="21"/>
              </w:rPr>
            </w:pPr>
            <w:r>
              <w:rPr>
                <w:rFonts w:hint="eastAsia" w:ascii="方正黑体_GBK" w:eastAsia="方正黑体_GBK"/>
                <w:bCs/>
                <w:color w:val="000000" w:themeColor="text1"/>
                <w:kern w:val="0"/>
                <w:szCs w:val="21"/>
              </w:rPr>
              <w:t>新建</w:t>
            </w:r>
          </w:p>
        </w:tc>
      </w:tr>
    </w:tbl>
    <w:p>
      <w:pPr>
        <w:ind w:firstLine="1260" w:firstLineChars="600"/>
        <w:jc w:val="center"/>
        <w:rPr>
          <w:color w:val="000000" w:themeColor="text1"/>
        </w:rPr>
      </w:pPr>
    </w:p>
    <w:p>
      <w:pPr>
        <w:ind w:firstLine="1260" w:firstLineChars="600"/>
        <w:jc w:val="center"/>
        <w:rPr>
          <w:color w:val="000000" w:themeColor="text1"/>
        </w:rPr>
      </w:pPr>
    </w:p>
    <w:p>
      <w:pPr>
        <w:ind w:firstLine="1260" w:firstLineChars="600"/>
        <w:jc w:val="center"/>
        <w:rPr>
          <w:rFonts w:ascii="方正小标宋_GBK" w:eastAsia="方正小标宋_GBK"/>
          <w:b/>
          <w:color w:val="000000" w:themeColor="text1"/>
          <w:kern w:val="0"/>
          <w:sz w:val="36"/>
          <w:szCs w:val="36"/>
        </w:rPr>
      </w:pPr>
      <w:r>
        <w:fldChar w:fldCharType="begin"/>
      </w:r>
      <w:r>
        <w:instrText xml:space="preserve"> HYPERLINK \l "_Toc57992994" </w:instrText>
      </w:r>
      <w:r>
        <w:fldChar w:fldCharType="separate"/>
      </w:r>
      <w:bookmarkStart w:id="111" w:name="_Toc90910518"/>
      <w:r>
        <w:rPr>
          <w:rFonts w:hint="eastAsia" w:ascii="方正小标宋_GBK" w:eastAsia="方正小标宋_GBK"/>
          <w:color w:val="000000" w:themeColor="text1"/>
          <w:kern w:val="0"/>
          <w:sz w:val="36"/>
          <w:szCs w:val="36"/>
        </w:rPr>
        <w:t xml:space="preserve">第四章 </w:t>
      </w:r>
      <w:r>
        <w:rPr>
          <w:rFonts w:hint="eastAsia" w:ascii="方正小标宋_GBK" w:eastAsia="方正小标宋_GBK"/>
          <w:color w:val="000000" w:themeColor="text1"/>
          <w:kern w:val="0"/>
          <w:sz w:val="36"/>
          <w:szCs w:val="36"/>
        </w:rPr>
        <w:fldChar w:fldCharType="end"/>
      </w:r>
      <w:r>
        <w:rPr>
          <w:rFonts w:hint="eastAsia" w:ascii="方正小标宋_GBK" w:eastAsia="方正小标宋_GBK"/>
          <w:color w:val="000000" w:themeColor="text1"/>
          <w:kern w:val="0"/>
          <w:sz w:val="36"/>
          <w:szCs w:val="36"/>
        </w:rPr>
        <w:t>保障措施</w:t>
      </w:r>
      <w:bookmarkEnd w:id="111"/>
    </w:p>
    <w:p>
      <w:pPr>
        <w:pStyle w:val="5"/>
        <w:spacing w:before="0" w:after="0" w:line="580" w:lineRule="exact"/>
        <w:ind w:firstLine="643" w:firstLineChars="200"/>
        <w:rPr>
          <w:rFonts w:ascii="方正黑体_GBK" w:hAnsi="方正黑体_GBK" w:eastAsia="方正黑体_GBK" w:cs="方正黑体_GBK"/>
          <w:b w:val="0"/>
          <w:color w:val="000000" w:themeColor="text1"/>
        </w:rPr>
      </w:pPr>
      <w:r>
        <w:fldChar w:fldCharType="begin"/>
      </w:r>
      <w:r>
        <w:instrText xml:space="preserve"> HYPERLINK \l "_Toc57993028" </w:instrText>
      </w:r>
      <w:r>
        <w:fldChar w:fldCharType="separate"/>
      </w:r>
      <w:bookmarkStart w:id="112" w:name="_Toc90910519"/>
      <w:r>
        <w:rPr>
          <w:rFonts w:hint="eastAsia" w:ascii="方正黑体_GBK" w:hAnsi="方正黑体_GBK" w:eastAsia="方正黑体_GBK" w:cs="方正黑体_GBK"/>
          <w:b w:val="0"/>
          <w:color w:val="000000" w:themeColor="text1"/>
          <w:kern w:val="0"/>
        </w:rPr>
        <w:t>一、组织保障</w:t>
      </w:r>
      <w:bookmarkEnd w:id="112"/>
      <w:r>
        <w:rPr>
          <w:rFonts w:hint="eastAsia" w:ascii="方正黑体_GBK" w:hAnsi="方正黑体_GBK" w:eastAsia="方正黑体_GBK" w:cs="方正黑体_GBK"/>
          <w:b w:val="0"/>
          <w:color w:val="000000" w:themeColor="text1"/>
          <w:kern w:val="0"/>
        </w:rPr>
        <w:fldChar w:fldCharType="end"/>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深入</w:t>
      </w:r>
      <w:bookmarkStart w:id="119" w:name="_GoBack"/>
      <w:r>
        <w:rPr>
          <w:rFonts w:eastAsia="方正仿宋_GBK"/>
          <w:bCs/>
          <w:color w:val="000000" w:themeColor="text1"/>
          <w:kern w:val="0"/>
          <w:sz w:val="32"/>
          <w:szCs w:val="32"/>
        </w:rPr>
        <w:t>学习</w:t>
      </w:r>
      <w:bookmarkEnd w:id="119"/>
      <w:r>
        <w:rPr>
          <w:rFonts w:eastAsia="方正仿宋_GBK"/>
          <w:bCs/>
          <w:color w:val="000000" w:themeColor="text1"/>
          <w:kern w:val="0"/>
          <w:sz w:val="32"/>
          <w:szCs w:val="32"/>
        </w:rPr>
        <w:t>贯彻习近平新时代中国特色社会主义思想，切实加强对规划实施的组织领导，各级各部门必须按照规划所确定的发展目标和发展重点，科学制定详细规划，严格推进相关项目的组织实施，切实维护规划的严肃性、权威性，有序推进规划实施。做好规划实施的中期评估和总结评估，对具体指标完成情况和主要任务的实施情况进行综合评估，根据宏观环境变化，适时提出规划调整方案，建立科学合理的规划评价机制。</w:t>
      </w:r>
    </w:p>
    <w:p>
      <w:pPr>
        <w:pStyle w:val="5"/>
        <w:spacing w:before="0" w:after="0" w:line="580" w:lineRule="exact"/>
        <w:ind w:firstLine="643" w:firstLineChars="200"/>
        <w:rPr>
          <w:rFonts w:ascii="方正黑体_GBK" w:hAnsi="方正黑体_GBK" w:eastAsia="方正黑体_GBK" w:cs="方正黑体_GBK"/>
          <w:b w:val="0"/>
          <w:color w:val="000000" w:themeColor="text1"/>
        </w:rPr>
      </w:pPr>
      <w:r>
        <w:fldChar w:fldCharType="begin"/>
      </w:r>
      <w:r>
        <w:instrText xml:space="preserve"> HYPERLINK \l "_Toc57993029" </w:instrText>
      </w:r>
      <w:r>
        <w:fldChar w:fldCharType="separate"/>
      </w:r>
      <w:bookmarkStart w:id="113" w:name="_Toc90910520"/>
      <w:r>
        <w:rPr>
          <w:rFonts w:hint="eastAsia" w:ascii="方正黑体_GBK" w:hAnsi="方正黑体_GBK" w:eastAsia="方正黑体_GBK" w:cs="方正黑体_GBK"/>
          <w:b w:val="0"/>
          <w:color w:val="000000" w:themeColor="text1"/>
          <w:kern w:val="0"/>
        </w:rPr>
        <w:t>二、资金保障</w:t>
      </w:r>
      <w:bookmarkEnd w:id="113"/>
      <w:r>
        <w:rPr>
          <w:rFonts w:hint="eastAsia" w:ascii="方正黑体_GBK" w:hAnsi="方正黑体_GBK" w:eastAsia="方正黑体_GBK" w:cs="方正黑体_GBK"/>
          <w:b w:val="0"/>
          <w:color w:val="000000" w:themeColor="text1"/>
          <w:kern w:val="0"/>
        </w:rPr>
        <w:fldChar w:fldCharType="end"/>
      </w:r>
    </w:p>
    <w:p>
      <w:pPr>
        <w:spacing w:line="580" w:lineRule="exact"/>
        <w:ind w:firstLine="640" w:firstLineChars="200"/>
        <w:jc w:val="left"/>
        <w:rPr>
          <w:rFonts w:eastAsia="方正仿宋_GBK"/>
          <w:bCs/>
          <w:color w:val="000000" w:themeColor="text1"/>
          <w:kern w:val="0"/>
          <w:sz w:val="32"/>
          <w:szCs w:val="32"/>
        </w:rPr>
      </w:pPr>
      <w:r>
        <w:rPr>
          <w:rFonts w:eastAsia="方正仿宋_GBK"/>
          <w:bCs/>
          <w:color w:val="000000" w:themeColor="text1"/>
          <w:kern w:val="0"/>
          <w:sz w:val="32"/>
          <w:szCs w:val="32"/>
        </w:rPr>
        <w:t>坚持“政府引导、多元投入、市场运作”原则，引导社会资本投入南川区发展，积极吸引优质创业资本、项目、技术、人才集聚。鼓励并引导社会资金以独资、合资、合作、联营、特许经营等形式，推进产业发展载体和平台建设。深化投融资体制改革、国企改革、金融体制改革，强化“项目池”、“资金池”、“资源池”对接，加强财政资金、国有资产、金融资源等“三资”协同，提高资本服务实体经济的能力。</w:t>
      </w:r>
    </w:p>
    <w:p>
      <w:pPr>
        <w:pStyle w:val="5"/>
        <w:spacing w:before="0" w:after="0" w:line="580" w:lineRule="exact"/>
        <w:ind w:firstLine="643" w:firstLineChars="200"/>
        <w:rPr>
          <w:rFonts w:ascii="方正黑体_GBK" w:hAnsi="方正黑体_GBK" w:eastAsia="方正黑体_GBK" w:cs="方正黑体_GBK"/>
          <w:b w:val="0"/>
          <w:color w:val="000000" w:themeColor="text1"/>
        </w:rPr>
      </w:pPr>
      <w:r>
        <w:fldChar w:fldCharType="begin"/>
      </w:r>
      <w:r>
        <w:instrText xml:space="preserve"> HYPERLINK \l "_Toc57993030" </w:instrText>
      </w:r>
      <w:r>
        <w:fldChar w:fldCharType="separate"/>
      </w:r>
      <w:bookmarkStart w:id="114" w:name="_Toc90910521"/>
      <w:r>
        <w:rPr>
          <w:rFonts w:hint="eastAsia" w:ascii="方正黑体_GBK" w:hAnsi="方正黑体_GBK" w:eastAsia="方正黑体_GBK" w:cs="方正黑体_GBK"/>
          <w:b w:val="0"/>
          <w:color w:val="000000" w:themeColor="text1"/>
          <w:kern w:val="0"/>
        </w:rPr>
        <w:t>三、政策保障</w:t>
      </w:r>
      <w:bookmarkEnd w:id="114"/>
      <w:r>
        <w:rPr>
          <w:rFonts w:hint="eastAsia" w:ascii="方正黑体_GBK" w:hAnsi="方正黑体_GBK" w:eastAsia="方正黑体_GBK" w:cs="方正黑体_GBK"/>
          <w:b w:val="0"/>
          <w:color w:val="000000" w:themeColor="text1"/>
          <w:kern w:val="0"/>
        </w:rPr>
        <w:fldChar w:fldCharType="end"/>
      </w:r>
    </w:p>
    <w:p>
      <w:pPr>
        <w:spacing w:line="580" w:lineRule="exact"/>
        <w:ind w:firstLine="640" w:firstLineChars="200"/>
        <w:jc w:val="left"/>
        <w:rPr>
          <w:rFonts w:ascii="方正黑体_GBK" w:eastAsia="方正黑体_GBK"/>
          <w:bCs/>
          <w:color w:val="000000" w:themeColor="text1"/>
          <w:kern w:val="0"/>
          <w:sz w:val="32"/>
          <w:szCs w:val="32"/>
        </w:rPr>
      </w:pPr>
      <w:r>
        <w:rPr>
          <w:rFonts w:eastAsia="方正仿宋_GBK"/>
          <w:bCs/>
          <w:color w:val="000000" w:themeColor="text1"/>
          <w:kern w:val="0"/>
          <w:sz w:val="32"/>
          <w:szCs w:val="32"/>
        </w:rPr>
        <w:t>建立定位准确、功能互补、协调统一的基础设施规划体系，强化政策保障，结合新常态下发展的特点和规律，研究制定符合发展新环境的新政策，维护市场公平竞争、打破地方保护和垄断，鼓励和引导社会资本的定位投资，促进政策导向转变，进一步深化基础设施行业改革，完善政府与社会资本合作的政策框架，进一步加大市场准入，引导更多社会资本投资基础设施建设。</w:t>
      </w:r>
    </w:p>
    <w:p>
      <w:pPr>
        <w:spacing w:line="580" w:lineRule="exact"/>
        <w:ind w:firstLine="640" w:firstLineChars="200"/>
        <w:jc w:val="left"/>
        <w:rPr>
          <w:rFonts w:ascii="方正黑体_GBK" w:eastAsia="方正黑体_GBK"/>
          <w:bCs/>
          <w:color w:val="000000" w:themeColor="text1"/>
          <w:kern w:val="0"/>
          <w:sz w:val="32"/>
          <w:szCs w:val="32"/>
        </w:rPr>
      </w:pPr>
    </w:p>
    <w:p>
      <w:pPr>
        <w:widowControl/>
        <w:spacing w:before="100" w:beforeAutospacing="1" w:after="100" w:afterAutospacing="1" w:line="580" w:lineRule="exact"/>
        <w:jc w:val="center"/>
        <w:outlineLvl w:val="1"/>
        <w:rPr>
          <w:rFonts w:ascii="方正小标宋_GBK" w:eastAsia="方正小标宋_GBK"/>
          <w:b/>
          <w:color w:val="000000" w:themeColor="text1"/>
          <w:kern w:val="0"/>
          <w:sz w:val="32"/>
          <w:szCs w:val="32"/>
        </w:rPr>
        <w:sectPr>
          <w:footerReference r:id="rId6" w:type="first"/>
          <w:footerReference r:id="rId5" w:type="default"/>
          <w:pgSz w:w="11907" w:h="16839"/>
          <w:pgMar w:top="1701" w:right="1701" w:bottom="1701" w:left="1701" w:header="851" w:footer="992" w:gutter="0"/>
          <w:pgNumType w:start="1"/>
          <w:cols w:space="0" w:num="1"/>
          <w:docGrid w:type="lines" w:linePitch="312" w:charSpace="0"/>
        </w:sectPr>
      </w:pPr>
    </w:p>
    <w:p>
      <w:pPr>
        <w:keepNext/>
        <w:keepLines/>
        <w:widowControl/>
        <w:snapToGrid w:val="0"/>
        <w:spacing w:line="580" w:lineRule="exact"/>
        <w:jc w:val="left"/>
        <w:outlineLvl w:val="0"/>
        <w:rPr>
          <w:rFonts w:ascii="黑体" w:hAnsi="黑体" w:eastAsia="黑体"/>
          <w:bCs/>
          <w:color w:val="000000" w:themeColor="text1"/>
          <w:kern w:val="44"/>
          <w:sz w:val="32"/>
          <w:szCs w:val="32"/>
        </w:rPr>
      </w:pPr>
      <w:bookmarkStart w:id="115" w:name="_Toc519679057"/>
      <w:bookmarkStart w:id="116" w:name="_Toc90910523"/>
      <w:bookmarkStart w:id="117" w:name="_Toc81406988"/>
      <w:bookmarkStart w:id="118" w:name="_Toc529180806"/>
      <w:r>
        <w:rPr>
          <w:rFonts w:hint="eastAsia" w:ascii="黑体" w:hAnsi="黑体" w:eastAsia="黑体"/>
          <w:bCs/>
          <w:color w:val="000000" w:themeColor="text1"/>
          <w:kern w:val="44"/>
          <w:sz w:val="32"/>
          <w:szCs w:val="32"/>
        </w:rPr>
        <w:t>附表一</w:t>
      </w:r>
      <w:r>
        <w:rPr>
          <w:rFonts w:ascii="黑体" w:hAnsi="黑体" w:eastAsia="黑体"/>
          <w:bCs/>
          <w:color w:val="000000" w:themeColor="text1"/>
          <w:kern w:val="44"/>
          <w:sz w:val="32"/>
          <w:szCs w:val="32"/>
        </w:rPr>
        <w:t>：</w:t>
      </w:r>
      <w:r>
        <w:rPr>
          <w:rFonts w:hint="eastAsia" w:ascii="黑体" w:hAnsi="黑体" w:eastAsia="黑体"/>
          <w:bCs/>
          <w:color w:val="000000" w:themeColor="text1"/>
          <w:kern w:val="44"/>
          <w:sz w:val="32"/>
          <w:szCs w:val="32"/>
        </w:rPr>
        <w:t>“十四五”城市基础设施重点建设项目表</w:t>
      </w:r>
      <w:bookmarkEnd w:id="115"/>
      <w:bookmarkEnd w:id="116"/>
      <w:bookmarkEnd w:id="117"/>
      <w:bookmarkEnd w:id="118"/>
    </w:p>
    <w:tbl>
      <w:tblPr>
        <w:tblStyle w:val="18"/>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588"/>
        <w:gridCol w:w="859"/>
        <w:gridCol w:w="567"/>
        <w:gridCol w:w="1202"/>
        <w:gridCol w:w="783"/>
        <w:gridCol w:w="567"/>
        <w:gridCol w:w="567"/>
        <w:gridCol w:w="567"/>
        <w:gridCol w:w="709"/>
        <w:gridCol w:w="708"/>
        <w:gridCol w:w="709"/>
        <w:gridCol w:w="709"/>
        <w:gridCol w:w="709"/>
        <w:gridCol w:w="709"/>
        <w:gridCol w:w="709"/>
        <w:gridCol w:w="708"/>
        <w:gridCol w:w="709"/>
        <w:gridCol w:w="113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950" w:type="dxa"/>
            <w:gridSpan w:val="2"/>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类型</w:t>
            </w:r>
          </w:p>
        </w:tc>
        <w:tc>
          <w:tcPr>
            <w:tcW w:w="859"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项目名称</w:t>
            </w:r>
          </w:p>
        </w:tc>
        <w:tc>
          <w:tcPr>
            <w:tcW w:w="567"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项目区位</w:t>
            </w:r>
          </w:p>
        </w:tc>
        <w:tc>
          <w:tcPr>
            <w:tcW w:w="1202"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项目规模</w:t>
            </w:r>
          </w:p>
        </w:tc>
        <w:tc>
          <w:tcPr>
            <w:tcW w:w="783"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项目功能</w:t>
            </w:r>
          </w:p>
        </w:tc>
        <w:tc>
          <w:tcPr>
            <w:tcW w:w="567"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建设性质</w:t>
            </w:r>
          </w:p>
        </w:tc>
        <w:tc>
          <w:tcPr>
            <w:tcW w:w="567"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计划开工时间</w:t>
            </w:r>
          </w:p>
        </w:tc>
        <w:tc>
          <w:tcPr>
            <w:tcW w:w="567"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计划竣工时间</w:t>
            </w:r>
          </w:p>
        </w:tc>
        <w:tc>
          <w:tcPr>
            <w:tcW w:w="709"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总投资(万元)</w:t>
            </w:r>
          </w:p>
        </w:tc>
        <w:tc>
          <w:tcPr>
            <w:tcW w:w="708"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五年总投资(万元)</w:t>
            </w:r>
          </w:p>
        </w:tc>
        <w:tc>
          <w:tcPr>
            <w:tcW w:w="4962" w:type="dxa"/>
            <w:gridSpan w:val="7"/>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年度投资计划（万元）</w:t>
            </w:r>
          </w:p>
        </w:tc>
        <w:tc>
          <w:tcPr>
            <w:tcW w:w="1134" w:type="dxa"/>
            <w:vMerge w:val="restart"/>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必要性/重要性</w:t>
            </w:r>
          </w:p>
        </w:tc>
        <w:tc>
          <w:tcPr>
            <w:tcW w:w="884" w:type="dxa"/>
            <w:vMerge w:val="restart"/>
            <w:noWrap/>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950" w:type="dxa"/>
            <w:gridSpan w:val="2"/>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859"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567"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1202"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783"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567"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567"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567"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709"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708"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70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已投资</w:t>
            </w:r>
          </w:p>
        </w:tc>
        <w:tc>
          <w:tcPr>
            <w:tcW w:w="70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2021</w:t>
            </w:r>
          </w:p>
        </w:tc>
        <w:tc>
          <w:tcPr>
            <w:tcW w:w="70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2022</w:t>
            </w:r>
          </w:p>
        </w:tc>
        <w:tc>
          <w:tcPr>
            <w:tcW w:w="70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2023</w:t>
            </w:r>
          </w:p>
        </w:tc>
        <w:tc>
          <w:tcPr>
            <w:tcW w:w="70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2024</w:t>
            </w:r>
          </w:p>
        </w:tc>
        <w:tc>
          <w:tcPr>
            <w:tcW w:w="708"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2025</w:t>
            </w:r>
          </w:p>
        </w:tc>
        <w:tc>
          <w:tcPr>
            <w:tcW w:w="70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2025之后</w:t>
            </w:r>
          </w:p>
        </w:tc>
        <w:tc>
          <w:tcPr>
            <w:tcW w:w="1134"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c>
          <w:tcPr>
            <w:tcW w:w="884" w:type="dxa"/>
            <w:vMerge w:val="continue"/>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62" w:type="dxa"/>
            <w:vMerge w:val="restart"/>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对外交通</w:t>
            </w:r>
          </w:p>
        </w:tc>
        <w:tc>
          <w:tcPr>
            <w:tcW w:w="588" w:type="dxa"/>
            <w:vMerge w:val="restart"/>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铁路设施</w:t>
            </w: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渝湘高铁（南川段）</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建成高速铁路55公里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高速铁路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续建</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2020</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2025</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850000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520000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330000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104000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104000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104000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104000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104000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0</w:t>
            </w:r>
          </w:p>
        </w:tc>
        <w:tc>
          <w:tcPr>
            <w:tcW w:w="113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全面融入主城都市区“一日生活圈”“1小时通勤圈”</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广涪柳铁路（南川段）</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南川境内约76公里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普通铁路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前期储备</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400000</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400000</w:t>
            </w:r>
          </w:p>
        </w:tc>
        <w:tc>
          <w:tcPr>
            <w:tcW w:w="1134" w:type="dxa"/>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渝桂高铁（南川段）</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南川境内约40公里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高速铁路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前期论证</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400000</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400000</w:t>
            </w:r>
          </w:p>
        </w:tc>
        <w:tc>
          <w:tcPr>
            <w:tcW w:w="1134" w:type="dxa"/>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重庆-铜仁城际铁路（南川段）</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南川境内约56公里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城际铁路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前期论证</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2600000</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2600000</w:t>
            </w:r>
          </w:p>
        </w:tc>
        <w:tc>
          <w:tcPr>
            <w:tcW w:w="1134" w:type="dxa"/>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市交委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川黔支线铁路扩能工程（南川段）</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普通铁路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前期论证</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1134" w:type="dxa"/>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
                <w:bCs/>
                <w:color w:val="000000" w:themeColor="text1"/>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轨道设施</w:t>
            </w: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城轨快线南川线</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南川境内约52公里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城轨快线</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开工建设</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173</w:t>
            </w:r>
            <w:r>
              <w:rPr>
                <w:rFonts w:asciiTheme="minorEastAsia" w:hAnsiTheme="minorEastAsia" w:eastAsiaTheme="minorEastAsia"/>
                <w:bCs/>
                <w:color w:val="000000" w:themeColor="text1"/>
                <w:spacing w:val="-6"/>
                <w:w w:val="98"/>
                <w:kern w:val="0"/>
                <w:sz w:val="15"/>
                <w:szCs w:val="15"/>
                <w:highlight w:val="none"/>
              </w:rPr>
              <w:t>0000</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ind w:left="-107" w:leftChars="-51"/>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1134" w:type="dxa"/>
            <w:vAlign w:val="center"/>
          </w:tcPr>
          <w:p>
            <w:pPr>
              <w:snapToGrid w:val="0"/>
              <w:spacing w:line="300" w:lineRule="exact"/>
              <w:jc w:val="center"/>
              <w:rPr>
                <w:rFonts w:asciiTheme="minorEastAsia" w:hAnsiTheme="minorEastAsia" w:eastAsiaTheme="minorEastAsia"/>
                <w:b/>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全面融入主城都市区“一日生活圈”“1小时通勤圈”</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市住建委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restart"/>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高速公路</w:t>
            </w: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渝湘高速复线（南川段）</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南川段全长约54公里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高速公路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续建</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2020</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2025</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1230000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1115000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115000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223000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223000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223000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223000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223000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0</w:t>
            </w:r>
          </w:p>
        </w:tc>
        <w:tc>
          <w:tcPr>
            <w:tcW w:w="113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缓解渝湘高速公路的交通压力</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中铁集团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南川西环高速</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西城街道</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南川段全长约11公里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绕城高速</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新建</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2021</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2023</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w:t>
            </w:r>
            <w:r>
              <w:rPr>
                <w:rFonts w:hint="eastAsia" w:asciiTheme="minorEastAsia" w:hAnsiTheme="minorEastAsia" w:eastAsiaTheme="minorEastAsia"/>
                <w:bCs/>
                <w:color w:val="000000" w:themeColor="text1"/>
                <w:spacing w:val="-6"/>
                <w:w w:val="98"/>
                <w:kern w:val="0"/>
                <w:sz w:val="15"/>
                <w:szCs w:val="15"/>
                <w:highlight w:val="none"/>
              </w:rPr>
              <w:t>9</w:t>
            </w:r>
            <w:r>
              <w:rPr>
                <w:rFonts w:asciiTheme="minorEastAsia" w:hAnsiTheme="minorEastAsia" w:eastAsiaTheme="minorEastAsia"/>
                <w:bCs/>
                <w:color w:val="000000" w:themeColor="text1"/>
                <w:spacing w:val="-6"/>
                <w:w w:val="98"/>
                <w:kern w:val="0"/>
                <w:sz w:val="15"/>
                <w:szCs w:val="15"/>
                <w:highlight w:val="none"/>
              </w:rPr>
              <w:t>0000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120000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40000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40000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40000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0</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Cs/>
                <w:color w:val="000000" w:themeColor="text1"/>
                <w:spacing w:val="-6"/>
                <w:w w:val="98"/>
                <w:kern w:val="0"/>
                <w:sz w:val="15"/>
                <w:szCs w:val="15"/>
                <w:highlight w:val="none"/>
              </w:rPr>
              <w:t>0</w:t>
            </w:r>
          </w:p>
        </w:tc>
        <w:tc>
          <w:tcPr>
            <w:tcW w:w="113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提升城区绕城通行能力</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万盛至正安高速</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南川段全长约45公里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高速公路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前期储备</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w:t>
            </w:r>
            <w:r>
              <w:rPr>
                <w:rFonts w:hint="eastAsia" w:asciiTheme="minorEastAsia" w:hAnsiTheme="minorEastAsia" w:eastAsiaTheme="minorEastAsia"/>
                <w:bCs/>
                <w:color w:val="000000" w:themeColor="text1"/>
                <w:spacing w:val="-6"/>
                <w:w w:val="98"/>
                <w:kern w:val="0"/>
                <w:sz w:val="15"/>
                <w:szCs w:val="15"/>
                <w:highlight w:val="none"/>
              </w:rPr>
              <w:t>68</w:t>
            </w:r>
            <w:r>
              <w:rPr>
                <w:rFonts w:asciiTheme="minorEastAsia" w:hAnsiTheme="minorEastAsia" w:eastAsiaTheme="minorEastAsia"/>
                <w:bCs/>
                <w:color w:val="000000" w:themeColor="text1"/>
                <w:spacing w:val="-6"/>
                <w:w w:val="98"/>
                <w:kern w:val="0"/>
                <w:sz w:val="15"/>
                <w:szCs w:val="15"/>
                <w:highlight w:val="none"/>
              </w:rPr>
              <w:t>0000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1080000</w:t>
            </w:r>
          </w:p>
        </w:tc>
        <w:tc>
          <w:tcPr>
            <w:tcW w:w="113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提升旅游通道</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中铁集团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合溪至大有高速</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大有—合溪</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全长约23公里</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高速公路</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前期储备</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340000</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340000</w:t>
            </w:r>
          </w:p>
        </w:tc>
        <w:tc>
          <w:tcPr>
            <w:tcW w:w="113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提升景区旅游通道</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2" w:type="dxa"/>
            <w:vMerge w:val="continue"/>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p>
        </w:tc>
        <w:tc>
          <w:tcPr>
            <w:tcW w:w="588"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快速融城通道</w:t>
            </w:r>
          </w:p>
        </w:tc>
        <w:tc>
          <w:tcPr>
            <w:tcW w:w="859"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重庆—南川快速通道</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全域</w:t>
            </w:r>
          </w:p>
        </w:tc>
        <w:tc>
          <w:tcPr>
            <w:tcW w:w="1202"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南川段全长约51公里，双向六车道</w:t>
            </w:r>
          </w:p>
        </w:tc>
        <w:tc>
          <w:tcPr>
            <w:tcW w:w="783"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快速通道</w:t>
            </w:r>
          </w:p>
        </w:tc>
        <w:tc>
          <w:tcPr>
            <w:tcW w:w="567"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前期储备</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567"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2100000</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8" w:type="dxa"/>
            <w:vAlign w:val="center"/>
          </w:tcPr>
          <w:p>
            <w:pPr>
              <w:snapToGrid w:val="0"/>
              <w:spacing w:line="300" w:lineRule="exact"/>
              <w:jc w:val="center"/>
              <w:rPr>
                <w:rFonts w:asciiTheme="minorEastAsia" w:hAnsiTheme="minorEastAsia" w:eastAsiaTheme="minorEastAsia"/>
                <w:b/>
                <w:bCs/>
                <w:color w:val="000000" w:themeColor="text1"/>
                <w:spacing w:val="-6"/>
                <w:w w:val="98"/>
                <w:kern w:val="0"/>
                <w:sz w:val="15"/>
                <w:szCs w:val="15"/>
                <w:highlight w:val="none"/>
              </w:rPr>
            </w:pPr>
            <w:r>
              <w:rPr>
                <w:rFonts w:hint="eastAsia" w:asciiTheme="minorEastAsia" w:hAnsiTheme="minorEastAsia" w:eastAsiaTheme="minorEastAsia"/>
                <w:b/>
                <w:bCs/>
                <w:color w:val="000000" w:themeColor="text1"/>
                <w:spacing w:val="-6"/>
                <w:w w:val="98"/>
                <w:kern w:val="0"/>
                <w:sz w:val="15"/>
                <w:szCs w:val="15"/>
                <w:highlight w:val="none"/>
              </w:rPr>
              <w:t>——</w:t>
            </w:r>
          </w:p>
        </w:tc>
        <w:tc>
          <w:tcPr>
            <w:tcW w:w="709" w:type="dxa"/>
            <w:vAlign w:val="center"/>
          </w:tcPr>
          <w:p>
            <w:pPr>
              <w:snapToGrid w:val="0"/>
              <w:spacing w:line="300" w:lineRule="exact"/>
              <w:jc w:val="center"/>
              <w:rPr>
                <w:rFonts w:asciiTheme="minorEastAsia" w:hAnsiTheme="minorEastAsia" w:eastAsiaTheme="minorEastAsia"/>
                <w:bCs/>
                <w:color w:val="000000" w:themeColor="text1"/>
                <w:spacing w:val="-6"/>
                <w:w w:val="98"/>
                <w:kern w:val="0"/>
                <w:sz w:val="15"/>
                <w:szCs w:val="15"/>
                <w:highlight w:val="none"/>
              </w:rPr>
            </w:pPr>
            <w:r>
              <w:rPr>
                <w:rFonts w:asciiTheme="minorEastAsia" w:hAnsiTheme="minorEastAsia" w:eastAsiaTheme="minorEastAsia"/>
                <w:bCs/>
                <w:color w:val="000000" w:themeColor="text1"/>
                <w:spacing w:val="-6"/>
                <w:w w:val="98"/>
                <w:kern w:val="0"/>
                <w:sz w:val="15"/>
                <w:szCs w:val="15"/>
                <w:highlight w:val="none"/>
              </w:rPr>
              <w:t>2100000</w:t>
            </w:r>
          </w:p>
        </w:tc>
        <w:tc>
          <w:tcPr>
            <w:tcW w:w="113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全面融入主城都市区“一日生活圈”“1小时通勤圈”</w:t>
            </w:r>
          </w:p>
        </w:tc>
        <w:tc>
          <w:tcPr>
            <w:tcW w:w="884" w:type="dxa"/>
            <w:vAlign w:val="center"/>
          </w:tcPr>
          <w:p>
            <w:pPr>
              <w:snapToGrid w:val="0"/>
              <w:spacing w:line="300" w:lineRule="exact"/>
              <w:jc w:val="center"/>
              <w:rPr>
                <w:rFonts w:asciiTheme="minorEastAsia" w:hAnsiTheme="minorEastAsia" w:eastAsiaTheme="minorEastAsia"/>
                <w:bCs/>
                <w:color w:val="000000" w:themeColor="text1"/>
                <w:kern w:val="0"/>
                <w:sz w:val="15"/>
                <w:szCs w:val="15"/>
                <w:highlight w:val="none"/>
              </w:rPr>
            </w:pPr>
            <w:r>
              <w:rPr>
                <w:rFonts w:hint="eastAsia" w:asciiTheme="minorEastAsia" w:hAnsiTheme="minorEastAsia" w:eastAsiaTheme="minorEastAsia"/>
                <w:bCs/>
                <w:color w:val="000000" w:themeColor="text1"/>
                <w:kern w:val="0"/>
                <w:sz w:val="15"/>
                <w:szCs w:val="15"/>
                <w:highlight w:val="none"/>
              </w:rPr>
              <w:t>市住建委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组团间通道</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南川区景城乡融合发展连接道路建设工程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西城街道、南城街道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项目起于隆化大道与金山大道交叉口，下穿包茂高速、南万高速，途经焦化厂、大兴变电站和先锋氧化铝厂，止于南万高速金佛山西下匝道。该项目总投资12.4亿元，建安投资约4.5亿元。道路全长8.5公里，路幅宽50米，双向6车道，道路等级为城市主干道</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2019</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124000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124000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38100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71400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一是该项目是实现山王坪互通与山王坪景区的联系通道，二是加强对外交通联系，三是提升城市门户形象。</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渝南大道延伸路（二期）项目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新建道路1.5公里、宽40米，配套建设管网、绿化、路灯等附属设施</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完善城区骨架路网，提升城市品质和道路通畅能力</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组团内部通道</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南川区柳溪路建设项目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花山片区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道路起于花山南路，止于杨柳溪；道路长800米，路幅宽24米，道路等级为城市次干道，路面为泥青混凝土路面，设计时速30km/h，双向四车道，其中桥梁全长100米，单跨跨径60米，桥梁类型为连续钢结构，桥宽24米，配套建设市政管网、绿化等附属设施</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提升花山公园南环线的道路网密度，实现河流两侧的交通对接</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龙济二路延伸道项目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项目起于龙济二路与纵四路（金川大道）交叉口，止于隆化大道，新建城市道路2082m，宽20米。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完善城区骨架路网，提升城市品质和道路通畅能力</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南川区龚家塘至六角楼片区路网改造工程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东城街道、南城街道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改造及新建道路7条，共5331米，以及相关市政给排水、燃气及电力改造等配套工程</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新建、改造</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提升老城区品质，提高道路通行能力，</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南川区东街片区路网改造工程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新（改）建城市道路4432m，其中改建道路长2073m，新建道路长2359m，包括城北路、新兴路、花山路、莲池巷路、东环路等。</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新建、改造</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2019</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提升老城区品质，提高道路通行能力，</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来游路续建工程项目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总长度约0.83公里，等级为城市次干路，设计速度40千米/每小时，标准路幅宽度24米，双向4车道</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2018</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打通微循环，缓解城区交通压力。</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渝富兴南公司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南川区工业园区龙岩组永生片区路网工程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永生路长370米，宽40米，含土石方、路基、路面、市政管网、路灯、绿化工程等,占地面积约69亩</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加强园区道路对接，完善园区路网系统</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龙岩组团南两高速下匝道拓宽工程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对现有20米下匝道拓宽至40米，长度约490米。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2640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2640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1640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加强园区道路对接，完善园区路网系统</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龙岩组团创新路建设工程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新建道路长约1140米，其中：南段长约405米，宽32米；中段长约375米，宽20米，北段长约360米，宽16米。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6600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6600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加强园区道路对接，完善园区路网系统</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龙岩组团永生片区路网工程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新建永生路长370米，宽40米。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2026</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加强园区道路对接，完善园区路网系统</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渝湘高速东胜互通改造工程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收费匝道数五进六出，改造园区东路700米。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3400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3400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加强园区道路对接，完善园区路网系统</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龙岩组团路网二期工程（纵一路延伸段、横一路延伸段）</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纵一路延伸段全长796米，宽24米。横一路延伸段全长369米，宽31米，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完善园区交通系统，建成交通枢纽加强园区发展。</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龙岩组团横一路站前广场段下穿改造工程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改造横一路道路约600米。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p>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p>
            <w:pPr>
              <w:widowControl/>
              <w:snapToGrid w:val="0"/>
              <w:spacing w:line="300" w:lineRule="exact"/>
              <w:jc w:val="center"/>
              <w:rPr>
                <w:rFonts w:ascii="宋体" w:hAnsi="宋体" w:cs="宋体"/>
                <w:color w:val="000000" w:themeColor="text1"/>
                <w:spacing w:val="-6"/>
                <w:w w:val="98"/>
                <w:kern w:val="0"/>
                <w:sz w:val="15"/>
                <w:szCs w:val="15"/>
                <w:highlight w:val="none"/>
              </w:rPr>
            </w:pP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完善园区交通系统，建成交通枢纽加强园区发展。</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南川高铁新城大道建设工程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新建道路长约2821米，宽30米。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完善园区交通系统，建成交通枢纽加强园区发展。</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南川北站综合智能交通枢纽建设工程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本项目总占地面积约90000㎡，总建筑面积约180000㎡。</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综合交通枢纽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75000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完善园区交通系统，建成交通枢纽加强园区发展。</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公共交通枢纽</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南川北站综合智能交通枢纽建设工程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北固工业园区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本项目总占地面积约90000㎡，总建筑面积约180000㎡。其中新建停车场120000㎡，规划车位3000个；新建公铁换乘中心15000㎡，规划智能公交站台20个；新建服务用房酒店、公寓、写字楼、旅游接待中心45000㎡。配套建设室内外综合管网、道路、绿化工程等</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综合交通枢纽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完善园区交通系统，建成交通枢纽加强园区发展。</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客运中心站公交大型枢纽站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停车坪、回车道、候车区、保洁保养场、管理用房等，占地面积8862 平方米，建筑面积约1500平方米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综合交通枢纽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完善客运站的改造提升。提高游客运输能力</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重庆市南川公共交通运输有限公司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客运西站公交大型枢纽站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停车坪、回车道、候车区、新能源公交补（充）电设施、保洁保养设施、综合服务用房(含商业)、景观绿地等，占地面积11891平方米，建筑面积约15000平方米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综合交通枢纽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服务于南川城区的客流集散，跨区出行主要集散点。</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重庆市南川公共交通运输有限公司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东金华公交停车场（新能源充电场）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停车坪、回车道、新能源充电系统、变电系统、安防系统、综合管理用房等，占地面积约6441㎡，建筑面积约5000平方米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首末站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改善现有公交设施条件，建设新能源汽车服务系统</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重庆市南川公共交通运输有限公司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长远公交维保场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西城街道白磷湾</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停车区、维修区、仓储区、检验区、安防系统、综合用房、景观绿地等，占地面积16321平方米，建筑面积约8000平方米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公交保养场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提升公交设施维修保养服务水平</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重庆市南川公共交通运输有限公司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永隆公交首末站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北固工业园区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停车坪、回车道、候车区、管理用房、景观绿地，占地面积1900平方米，建筑面积约550平方米</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首末站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改善现有公交设施条件，提高公众信息服务水平</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重庆市南川公共交通运输有限公司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金佛山北大门公交首末站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三泉镇</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新建公交首末站一座</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首末站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改善现有公交设施条件，提高景区服务水平</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昌达公司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金佛山西大门公交首末站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新建公交首末站一座</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首末站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改善现有公交设施条件，提高景区服务水平</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昌达公司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公共停车场设施</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东街公共停车场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规划车位190个，地面停车场</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5700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5700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1700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缓解城区停车压力，平衡停车供求关系</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机械式立体停车场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庙堡顶</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北环路原交易中心庙堡顶小区7层，144个车位</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缓解城区停车压力，平衡停车供求关系</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北师大公共停车场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本项目总占地面积约6000㎡，规划车位820个，停车楼</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缓解城区停车压力，平衡停车供求关系</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大型货运停车场1座</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停车场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缓解城区停车压力，平衡停车供求关系</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慢行系统</w:t>
            </w:r>
          </w:p>
        </w:tc>
        <w:tc>
          <w:tcPr>
            <w:tcW w:w="859"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凤嘴江滨水绿道</w:t>
            </w:r>
          </w:p>
        </w:tc>
        <w:tc>
          <w:tcPr>
            <w:tcW w:w="567"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w:t>
            </w:r>
          </w:p>
        </w:tc>
        <w:tc>
          <w:tcPr>
            <w:tcW w:w="1202"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建设复合+专用型步道6公里</w:t>
            </w:r>
          </w:p>
        </w:tc>
        <w:tc>
          <w:tcPr>
            <w:tcW w:w="783"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步道</w:t>
            </w:r>
          </w:p>
        </w:tc>
        <w:tc>
          <w:tcPr>
            <w:tcW w:w="567"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567"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8"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8"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提供居民步行空间</w:t>
            </w:r>
          </w:p>
        </w:tc>
        <w:tc>
          <w:tcPr>
            <w:tcW w:w="884" w:type="dxa"/>
            <w:noWrap/>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半溪河滨水绿道</w:t>
            </w:r>
          </w:p>
        </w:tc>
        <w:tc>
          <w:tcPr>
            <w:tcW w:w="567" w:type="dxa"/>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半溪河</w:t>
            </w:r>
          </w:p>
        </w:tc>
        <w:tc>
          <w:tcPr>
            <w:tcW w:w="1202" w:type="dxa"/>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建设复合+专用型步道3.5公里</w:t>
            </w:r>
          </w:p>
        </w:tc>
        <w:tc>
          <w:tcPr>
            <w:tcW w:w="783"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步道</w:t>
            </w:r>
          </w:p>
        </w:tc>
        <w:tc>
          <w:tcPr>
            <w:tcW w:w="567"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567"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595</w:t>
            </w:r>
          </w:p>
        </w:tc>
        <w:tc>
          <w:tcPr>
            <w:tcW w:w="708"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595</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w:t>
            </w:r>
          </w:p>
        </w:tc>
        <w:tc>
          <w:tcPr>
            <w:tcW w:w="708"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295</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提供居民步行空间</w:t>
            </w:r>
          </w:p>
        </w:tc>
        <w:tc>
          <w:tcPr>
            <w:tcW w:w="884" w:type="dxa"/>
            <w:noWrap/>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龙岩江滨水绿道</w:t>
            </w:r>
          </w:p>
        </w:tc>
        <w:tc>
          <w:tcPr>
            <w:tcW w:w="567" w:type="dxa"/>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龙岩江</w:t>
            </w:r>
          </w:p>
        </w:tc>
        <w:tc>
          <w:tcPr>
            <w:tcW w:w="1202" w:type="dxa"/>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建设复合+专用型步道4.5公里</w:t>
            </w:r>
          </w:p>
        </w:tc>
        <w:tc>
          <w:tcPr>
            <w:tcW w:w="783"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步道</w:t>
            </w:r>
          </w:p>
        </w:tc>
        <w:tc>
          <w:tcPr>
            <w:tcW w:w="567"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567"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765</w:t>
            </w:r>
          </w:p>
        </w:tc>
        <w:tc>
          <w:tcPr>
            <w:tcW w:w="708"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765</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8"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365</w:t>
            </w:r>
          </w:p>
        </w:tc>
        <w:tc>
          <w:tcPr>
            <w:tcW w:w="709" w:type="dxa"/>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提供居民步行空间</w:t>
            </w:r>
          </w:p>
        </w:tc>
        <w:tc>
          <w:tcPr>
            <w:tcW w:w="884" w:type="dxa"/>
            <w:noWrap/>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人行过街设施</w:t>
            </w:r>
          </w:p>
        </w:tc>
        <w:tc>
          <w:tcPr>
            <w:tcW w:w="859"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金山大道天桥加装电梯</w:t>
            </w:r>
          </w:p>
        </w:tc>
        <w:tc>
          <w:tcPr>
            <w:tcW w:w="567"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南城街道</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金山大道4座天桥加装8部垂直电梯</w:t>
            </w:r>
          </w:p>
        </w:tc>
        <w:tc>
          <w:tcPr>
            <w:tcW w:w="783"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人行天桥</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实现人车分离，保证人行过街安全</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区政府指定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城区过街天桥及地下通道建设项目</w:t>
            </w:r>
          </w:p>
        </w:tc>
        <w:tc>
          <w:tcPr>
            <w:tcW w:w="567"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东城街道、西城街道</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在商业集聚地、学校等人流、交通密集处规划人行天桥和地下通道</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天桥、地下通道</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实现人车分离，保证人行过街安全</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区政府指定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restart"/>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城市供水设施</w:t>
            </w:r>
          </w:p>
        </w:tc>
        <w:tc>
          <w:tcPr>
            <w:tcW w:w="588"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供水水源</w:t>
            </w:r>
          </w:p>
        </w:tc>
        <w:tc>
          <w:tcPr>
            <w:tcW w:w="859"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沿塘水库</w:t>
            </w:r>
          </w:p>
        </w:tc>
        <w:tc>
          <w:tcPr>
            <w:tcW w:w="567"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续建一座总库容为464万立方米小型（1）水库。</w:t>
            </w:r>
          </w:p>
        </w:tc>
        <w:tc>
          <w:tcPr>
            <w:tcW w:w="783"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农业灌溉及人畜饮水</w:t>
            </w:r>
          </w:p>
        </w:tc>
        <w:tc>
          <w:tcPr>
            <w:tcW w:w="567"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noWrap/>
            <w:vAlign w:val="center"/>
          </w:tcPr>
          <w:p>
            <w:pPr>
              <w:widowControl/>
              <w:snapToGrid w:val="0"/>
              <w:spacing w:line="26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2019</w:t>
            </w:r>
          </w:p>
        </w:tc>
        <w:tc>
          <w:tcPr>
            <w:tcW w:w="567" w:type="dxa"/>
            <w:noWrap/>
            <w:vAlign w:val="center"/>
          </w:tcPr>
          <w:p>
            <w:pPr>
              <w:widowControl/>
              <w:snapToGrid w:val="0"/>
              <w:spacing w:line="26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709" w:type="dxa"/>
            <w:noWrap/>
            <w:vAlign w:val="center"/>
          </w:tcPr>
          <w:p>
            <w:pPr>
              <w:widowControl/>
              <w:snapToGrid w:val="0"/>
              <w:spacing w:line="26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38214.65</w:t>
            </w:r>
          </w:p>
        </w:tc>
        <w:tc>
          <w:tcPr>
            <w:tcW w:w="708" w:type="dxa"/>
            <w:noWrap/>
            <w:vAlign w:val="center"/>
          </w:tcPr>
          <w:p>
            <w:pPr>
              <w:widowControl/>
              <w:snapToGrid w:val="0"/>
              <w:spacing w:line="26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5046.65</w:t>
            </w:r>
          </w:p>
        </w:tc>
        <w:tc>
          <w:tcPr>
            <w:tcW w:w="709" w:type="dxa"/>
            <w:noWrap/>
            <w:vAlign w:val="center"/>
          </w:tcPr>
          <w:p>
            <w:pPr>
              <w:widowControl/>
              <w:snapToGrid w:val="0"/>
              <w:spacing w:line="26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33168</w:t>
            </w:r>
          </w:p>
        </w:tc>
        <w:tc>
          <w:tcPr>
            <w:tcW w:w="709" w:type="dxa"/>
            <w:noWrap/>
            <w:vAlign w:val="center"/>
          </w:tcPr>
          <w:p>
            <w:pPr>
              <w:widowControl/>
              <w:snapToGrid w:val="0"/>
              <w:spacing w:line="26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5046.65</w:t>
            </w:r>
          </w:p>
        </w:tc>
        <w:tc>
          <w:tcPr>
            <w:tcW w:w="709" w:type="dxa"/>
            <w:noWrap/>
            <w:vAlign w:val="center"/>
          </w:tcPr>
          <w:p>
            <w:pPr>
              <w:widowControl/>
              <w:snapToGrid w:val="0"/>
              <w:spacing w:line="26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0</w:t>
            </w:r>
          </w:p>
        </w:tc>
        <w:tc>
          <w:tcPr>
            <w:tcW w:w="709" w:type="dxa"/>
            <w:noWrap/>
            <w:vAlign w:val="center"/>
          </w:tcPr>
          <w:p>
            <w:pPr>
              <w:widowControl/>
              <w:snapToGrid w:val="0"/>
              <w:spacing w:line="26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26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26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26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解决南川区龙岩组团工业园区西城街道片区工业生产用水，西城街道沿塘、永合、永隆三个社区1.25万亩灌溉，2.64万农村人口饮水问题。</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供水设施及管网</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南川区城区供水一体化建设项目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南川区东城街道、南城街道、西城街道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项目占地面积48.24亩，扩建鹰岩水处理厂，新增日供水能力8万立方米，配套建设DN800-900配水主管道7600米、DN800输水管道4000米 ；新铺设城区及城郊DN300-800供水管道30787米，改建DN300-400供水管道9413米。增设水处理厂深度处理及污泥处理相关设施设备和智能化水处理管理系统。</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城区供水</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2020</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noWrap/>
            <w:vAlign w:val="center"/>
          </w:tcPr>
          <w:p>
            <w:pPr>
              <w:widowControl/>
              <w:snapToGrid w:val="0"/>
              <w:spacing w:line="30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40388.76</w:t>
            </w:r>
          </w:p>
        </w:tc>
        <w:tc>
          <w:tcPr>
            <w:tcW w:w="708" w:type="dxa"/>
            <w:noWrap/>
            <w:vAlign w:val="center"/>
          </w:tcPr>
          <w:p>
            <w:pPr>
              <w:widowControl/>
              <w:snapToGrid w:val="0"/>
              <w:spacing w:line="30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40388.76</w:t>
            </w:r>
          </w:p>
        </w:tc>
        <w:tc>
          <w:tcPr>
            <w:tcW w:w="709" w:type="dxa"/>
            <w:noWrap/>
            <w:vAlign w:val="center"/>
          </w:tcPr>
          <w:p>
            <w:pPr>
              <w:widowControl/>
              <w:snapToGrid w:val="0"/>
              <w:spacing w:line="30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9681</w:t>
            </w:r>
          </w:p>
        </w:tc>
        <w:tc>
          <w:tcPr>
            <w:tcW w:w="709" w:type="dxa"/>
            <w:noWrap/>
            <w:vAlign w:val="center"/>
          </w:tcPr>
          <w:p>
            <w:pPr>
              <w:widowControl/>
              <w:snapToGrid w:val="0"/>
              <w:spacing w:line="30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15390</w:t>
            </w:r>
          </w:p>
        </w:tc>
        <w:tc>
          <w:tcPr>
            <w:tcW w:w="709" w:type="dxa"/>
            <w:noWrap/>
            <w:vAlign w:val="center"/>
          </w:tcPr>
          <w:p>
            <w:pPr>
              <w:widowControl/>
              <w:snapToGrid w:val="0"/>
              <w:spacing w:line="30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15317.76</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完善城区供水设施，保障城市供水</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区自来水公司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重庆市南川区城乡供水品质提升工程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南川区东城街道、南城街道、西城街道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1、城乡供水管网延伸及改造DN300～DN600供水管道10060米；2、梅垭水处理厂升级改造，厂区设施设备更新、智能化建设、系统环境整治；3、城市供水智能化管理，建设地理信息系统，DMA分区漏损系统和小区二次供水设备、泵房监控系统、在线监测系统，城区供水管网设施升级及一户一表提升改造。</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城区供水</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13270.26</w:t>
            </w:r>
          </w:p>
        </w:tc>
        <w:tc>
          <w:tcPr>
            <w:tcW w:w="708" w:type="dxa"/>
            <w:noWrap/>
            <w:vAlign w:val="center"/>
          </w:tcPr>
          <w:p>
            <w:pPr>
              <w:widowControl/>
              <w:snapToGrid w:val="0"/>
              <w:spacing w:line="300" w:lineRule="exact"/>
              <w:jc w:val="center"/>
              <w:rPr>
                <w:rFonts w:ascii="宋体" w:hAnsi="宋体" w:cs="宋体"/>
                <w:color w:val="000000" w:themeColor="text1"/>
                <w:spacing w:val="-11"/>
                <w:w w:val="95"/>
                <w:kern w:val="0"/>
                <w:sz w:val="15"/>
                <w:szCs w:val="15"/>
                <w:highlight w:val="none"/>
              </w:rPr>
            </w:pPr>
            <w:r>
              <w:rPr>
                <w:rFonts w:hint="eastAsia" w:ascii="宋体" w:hAnsi="宋体" w:cs="宋体"/>
                <w:color w:val="000000" w:themeColor="text1"/>
                <w:spacing w:val="-11"/>
                <w:w w:val="95"/>
                <w:kern w:val="0"/>
                <w:sz w:val="15"/>
                <w:szCs w:val="15"/>
                <w:highlight w:val="none"/>
              </w:rPr>
              <w:t>13270.26</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3000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4000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4000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1770.26</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完善城区配套供水管网，保障小区供水</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区自来水公司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重庆南川区严家坝(华尔寺)水厂工程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南城街道文华社区三组华尔寺</w:t>
            </w:r>
          </w:p>
        </w:tc>
        <w:tc>
          <w:tcPr>
            <w:tcW w:w="1202" w:type="dxa"/>
            <w:vAlign w:val="center"/>
          </w:tcPr>
          <w:p>
            <w:pPr>
              <w:widowControl/>
              <w:snapToGrid w:val="0"/>
              <w:spacing w:line="300" w:lineRule="exact"/>
              <w:ind w:left="-79" w:leftChars="-38" w:right="-73" w:rightChars="-35" w:firstLine="79" w:firstLineChars="53"/>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净水厂供水规模为5万m³/d，占地34.23亩；主要建设净水厂常规处理设施、深度处理设施和排泥水处理设施等，安装DN900取水管道长12.035km：安装主水源至净水厂DN900输水管道4.43km，备用水源至净水厂DN800输水管道9.82km，安装DN200-700配水管网总长46.49km。配套建设加药加氯间427.40m2，送水泵房155.68m2、配电房336.16m2、综合楼947.68m2和电气、自控及仪表工程等,相关附属工程。</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城区供水</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w:t>
            </w:r>
            <w:r>
              <w:rPr>
                <w:rFonts w:hint="eastAsia" w:ascii="宋体" w:hAnsi="宋体" w:cs="宋体"/>
                <w:color w:val="000000" w:themeColor="text1"/>
                <w:spacing w:val="-6"/>
                <w:w w:val="98"/>
                <w:kern w:val="0"/>
                <w:sz w:val="15"/>
                <w:szCs w:val="15"/>
                <w:highlight w:val="none"/>
              </w:rPr>
              <w:t>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37277.9</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37277.9</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500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12000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20000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4777.90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完善供水设施及配套输配水管网，保障城市供水</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弘禹水利建设有限责任公司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城市排水设施</w:t>
            </w: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城市内涝整治</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市民广场下穿道内涝积水点整治工程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市民广场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下穿道内现状d500污水管进行清淤，清淤长度70.4m；在下穿道内两侧通道低点分别新建雨水泵站，泵站流量均为410m3/h，扬程均为18m；新建d300压力雨水管道为583m。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内涝整治</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城市内涝点整治，消除城市积水</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南园路内涝积水点整治工程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南园路</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沿金浦路与金山大道新建雨水管d1000，长度为385m</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内涝整治</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230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230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230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城市内涝点整治，消除城市积水</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黄淦河积水点整治工程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在铁路下穿道两头增设横向雨水截水沟，规模分别为800×800mm、700×700 mm、600×500 mm，总长度为54.2m；新建雨水管管径为d600～d800，总长度49m，迁改d300污水管道31m；增设雨水明沟，规模为300×300mm、400×400 mm，总长度为947m。</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内涝整治</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260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260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260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城市内涝点整治，消除城市积水</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电影院内涝点积水点整治工程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新建一座雨水提升泵站，泵站设计流量为200m3/h,设计扬程为20m。</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内涝整治</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城市内涝点整治，消除城市积水</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雨水管网</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九鼎山沿山排水渠导流工程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沿九鼎山城区规划区修建排水渠，排水渠道起于金佛康城后侧沿山建设，通过金山二路排入凤嘴江，渠道规模1.0*1.2米、管道规模为d1600mm，总长约为3公里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排洪沟</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解决山洪水排放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永隆山沿山排水渠导流工程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永隆山城区规划区范围修建排水渠，北段渠道起于二棵树观景台下边坡外，在南大路二期终点附近接入道路排水系统，南段渠道起于龙济二路与金山一路衔接外边坡上，在变电站附近接入龙记济二路排水系统，渠道规模1.0*1.2米，总长为3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排洪沟</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解决山洪水排放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花盆山沿山排水渠导流工程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沿花盆山城区规划区范围修建排水渠，起于南川殡仪馆，沿着花盆山山脚铺设建造，止于张家院子，渠道规模1.0*1.2米，总长为8公里。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排洪沟</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4200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4200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1200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2400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解决山洪水排放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污水处理厂</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南川区工业园区龙岩组团污水处理厂二期工程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日处理能力5000m³污水处理厂1座，配套建设厂区道路、室外综合管网、照明、绿化及变配电所等附属设施。总占地面积约20亩</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污水厂</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4500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4500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由于一期污水厂现在处理能力达不到，二期建成很有必要</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污水管网</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凤嘴江城区段西岸截污干管工程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沿凤嘴江西岸改建主截污干管，管道起点起于凤嘴江高架桥下河岸侧，接入东城污水处理厂截污干管，管道规模d600~800，管道长度约为4公里。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截污干管</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污水处理厂配套截污干管</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凤嘴江檬梓林至高架桥段截污干管工程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沿凤嘴江上游两岸及景城乡融合发展连接道路铺设截污干管，起于檬梓林氧化铝厂接入凤嘴江西岸新建截污干管，管道规模d600~800mm，管道长度约为12公里。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截污干管</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6900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6900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污水处理厂配套截污干管</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龙岩江东岸截污干管工程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半溪河流域城区污水管网混接、错接改造、破损非开挖修复、管材更换、雨污分流改造、管道缺失补建，主要为北环路、东环路、西大街、三环路合围区域老城区市政排水官网改造修复，管道规模d300~d800mm，总长度约16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截污干管</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3100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3100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污水处理厂配套截污干管</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半溪河流域城区污水管混接错接修复改造工程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流域城区污水管网混接、错接、破损非开挖修复、管材更换、雨污分流改造、管道缺失补建，主要为金川大道、龙济二路、来游路、高速路下道口至转盘、三环路、西大街合围区域城区市政排水管网改造修复，管道规模为d300~d800mm，总长度约为12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雨污混接改造</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w:t>
            </w:r>
            <w:r>
              <w:rPr>
                <w:rFonts w:ascii="宋体" w:hAnsi="宋体" w:cs="宋体"/>
                <w:color w:val="000000" w:themeColor="text1"/>
                <w:spacing w:val="-6"/>
                <w:w w:val="98"/>
                <w:kern w:val="0"/>
                <w:sz w:val="15"/>
                <w:szCs w:val="15"/>
                <w:highlight w:val="none"/>
              </w:rPr>
              <w:t>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7500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7500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实现雨污分流，混接错节管网改造</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区住房和城乡建委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凤嘴江流域城区污水管混接错接修复改造</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江流域城区污水管网混接、错接、破损非开挖修复、管材更换、雨污分流改造、管道缺失补建，主要为南大街延伸段、石雷路、银河大道、合围区域城区市政排水管网改造修复，管道规模为d300~d800mm，总长度约为5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雨污混接改造</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实现雨污分流，混接错节管网改造</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区住房和城乡建委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龙岩江流域城区污水管混接错接修复改造</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对下穿道内现状d500污水管进行清淤，清淤长度70.4m；在下穿道内两侧通道低点分别新建雨水泵站，泵站流量均为410m3/h，扬程均为18m；新建d300压力雨水管道为583m。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雨污混接改造</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实现雨污分流，混接错节管网改造</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区住房和城乡建委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城市电力设施</w:t>
            </w: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输变电设施</w:t>
            </w: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重庆南川城郊110kV变电站2号主变改造工程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主变增容18.5MVA</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30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30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30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重庆南川姚家坝110kV输变电工程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大观</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新增主变100MVA，新建线路15km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510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510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10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重庆南川松林～石篆110kV线路工程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西城街道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新建线路9km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120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120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20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重庆南川鱼跳～松林π入宏墙变电站110kV线路工程</w:t>
            </w:r>
          </w:p>
        </w:tc>
        <w:tc>
          <w:tcPr>
            <w:tcW w:w="567" w:type="dxa"/>
            <w:noWrap/>
            <w:vAlign w:val="center"/>
          </w:tcPr>
          <w:p>
            <w:pPr>
              <w:widowControl/>
              <w:snapToGrid w:val="0"/>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中桥、石墙</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新建线路4km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2025</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9</w:t>
            </w:r>
            <w:r>
              <w:rPr>
                <w:rFonts w:ascii="宋体" w:hAnsi="宋体" w:cs="宋体"/>
                <w:color w:val="000000" w:themeColor="text1"/>
                <w:spacing w:val="-6"/>
                <w:w w:val="98"/>
                <w:kern w:val="0"/>
                <w:sz w:val="15"/>
                <w:szCs w:val="15"/>
                <w:highlight w:val="none"/>
              </w:rPr>
              <w:t>60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9</w:t>
            </w:r>
            <w:r>
              <w:rPr>
                <w:rFonts w:ascii="宋体" w:hAnsi="宋体" w:cs="宋体"/>
                <w:color w:val="000000" w:themeColor="text1"/>
                <w:spacing w:val="-6"/>
                <w:w w:val="98"/>
                <w:kern w:val="0"/>
                <w:sz w:val="15"/>
                <w:szCs w:val="15"/>
                <w:highlight w:val="none"/>
              </w:rPr>
              <w:t>60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960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重庆南川姚家坝110kV变电站35kV送出工程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大观</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新建线路42km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293</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293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293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ind w:left="-39" w:leftChars="-19" w:right="-56" w:rightChars="-27"/>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重庆南川南城220kV变电站110kV送出工程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新建线路8km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024</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40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40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40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重庆南川凤凰寺～南平35kV线路改造工程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南平</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改造线路27km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024</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350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350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w:t>
            </w:r>
            <w:r>
              <w:rPr>
                <w:rFonts w:ascii="宋体" w:hAnsi="宋体" w:cs="宋体"/>
                <w:color w:val="000000" w:themeColor="text1"/>
                <w:spacing w:val="-6"/>
                <w:w w:val="98"/>
                <w:kern w:val="0"/>
                <w:sz w:val="15"/>
                <w:szCs w:val="15"/>
                <w:highlight w:val="none"/>
              </w:rPr>
              <w:t>50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重庆南川花山110kV输变电工程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东胜</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新增主变100MVA，新建线路12km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024</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600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600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500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100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重庆南川鸣玉35kV变电站改造工程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鸣玉</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主变增容8.7MVA</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2021</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500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重庆南川花山110kV变电站35kV送出工程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东胜</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新建线路5km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024</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50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50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50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重庆南川南城220kV输变电工程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南城街道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新增主变36MVA</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2000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w:t>
            </w:r>
            <w:r>
              <w:rPr>
                <w:rFonts w:ascii="宋体" w:hAnsi="宋体" w:cs="宋体"/>
                <w:color w:val="000000" w:themeColor="text1"/>
                <w:spacing w:val="-6"/>
                <w:w w:val="98"/>
                <w:kern w:val="0"/>
                <w:sz w:val="15"/>
                <w:szCs w:val="15"/>
                <w:highlight w:val="none"/>
              </w:rPr>
              <w:t>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w:t>
            </w:r>
            <w:r>
              <w:rPr>
                <w:rFonts w:ascii="宋体" w:hAnsi="宋体" w:cs="宋体"/>
                <w:color w:val="000000" w:themeColor="text1"/>
                <w:spacing w:val="-6"/>
                <w:w w:val="98"/>
                <w:kern w:val="0"/>
                <w:sz w:val="15"/>
                <w:szCs w:val="15"/>
                <w:highlight w:val="none"/>
              </w:rPr>
              <w:t>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南川110KV陈家场变电站增容改造工程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南平</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主变增容50MVA</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输变电工程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030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030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030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输配电重要设施建设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noWrap/>
            <w:vAlign w:val="center"/>
          </w:tcPr>
          <w:p>
            <w:pPr>
              <w:widowControl/>
              <w:snapToGrid w:val="0"/>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859"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南川景城乡融合发展连接道路电力管网工程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景城乡融合发展连接道路</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新建10KV电力管网约8.5公里，规模为24回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578</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578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378</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渝南大道延伸路（二期）电力管网工程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渝南大道延伸路</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新建10KV电力管网约1.5公里，规模为24回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102</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67</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柳溪路电力管网工程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柳溪路</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新建10KV电力管网约0.8公里，规模为24回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55</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45</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龙济二路延伸道电力管网工程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龙济二路</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新建10KV电力管网约2公里，规模为24回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136</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136</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76</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龚家塘至六角楼片区电力网管工程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龚家塘片区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新建10KV电力管网约5公里，规模为24回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340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340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东街片区电力管网工程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东街片区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新建10KV电力管网约4公里，规模为24回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283</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120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163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来游路电力管网工程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来游路</w:t>
            </w:r>
          </w:p>
        </w:tc>
        <w:tc>
          <w:tcPr>
            <w:tcW w:w="1202" w:type="dxa"/>
            <w:vAlign w:val="center"/>
          </w:tcPr>
          <w:p>
            <w:pPr>
              <w:widowControl/>
              <w:snapToGrid w:val="0"/>
              <w:spacing w:line="300" w:lineRule="exact"/>
              <w:ind w:left="-58" w:leftChars="-28" w:right="-73" w:rightChars="-35"/>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新建10KV电力管网约0.8公里，规模为</w:t>
            </w:r>
            <w:r>
              <w:rPr>
                <w:rFonts w:ascii="宋体" w:hAnsi="宋体" w:cs="宋体"/>
                <w:color w:val="000000" w:themeColor="text1"/>
                <w:kern w:val="0"/>
                <w:sz w:val="15"/>
                <w:szCs w:val="15"/>
                <w:highlight w:val="none"/>
              </w:rPr>
              <w:t>1</w:t>
            </w:r>
            <w:r>
              <w:rPr>
                <w:rFonts w:hint="eastAsia" w:ascii="宋体" w:hAnsi="宋体" w:cs="宋体"/>
                <w:color w:val="000000" w:themeColor="text1"/>
                <w:kern w:val="0"/>
                <w:sz w:val="15"/>
                <w:szCs w:val="15"/>
                <w:highlight w:val="none"/>
              </w:rPr>
              <w:t>6回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南川区工业园区龙岩组团永生片区路电力管网工程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永生片区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新建10KV电力管网0.37公里，规模为24回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8</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工业大道（东胜高速出口—北固高速路口—污水处理厂）、南大街延伸路、南大街（西街口—中心车站后大门）电力管网工程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新建10KV电力管网6公里，规模为24回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08</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50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南园路延伸路电力管网工程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新建10KV电力管网0.7公里，规模为16回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8</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w:t>
            </w:r>
            <w:r>
              <w:rPr>
                <w:rFonts w:ascii="宋体" w:hAnsi="宋体" w:cs="宋体"/>
                <w:color w:val="000000" w:themeColor="text1"/>
                <w:spacing w:val="-6"/>
                <w:w w:val="98"/>
                <w:kern w:val="0"/>
                <w:sz w:val="15"/>
                <w:szCs w:val="15"/>
                <w:highlight w:val="none"/>
              </w:rPr>
              <w:t>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完善道路配套电网建设</w:t>
            </w:r>
          </w:p>
        </w:tc>
        <w:tc>
          <w:tcPr>
            <w:tcW w:w="884"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银河大道电力管网工程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银河大道</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新建10KV电力管网2.9公里，花山中路交叉口北侧段规模为16回，南侧段为24回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w:t>
            </w:r>
            <w:r>
              <w:rPr>
                <w:rFonts w:hint="eastAsia" w:ascii="宋体" w:hAnsi="宋体" w:cs="宋体"/>
                <w:color w:val="000000" w:themeColor="text1"/>
                <w:spacing w:val="-6"/>
                <w:w w:val="98"/>
                <w:kern w:val="0"/>
                <w:sz w:val="15"/>
                <w:szCs w:val="15"/>
                <w:highlight w:val="none"/>
              </w:rPr>
              <w:t>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197</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197</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65</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67</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花山南路东段电力管网工程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花山南路</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新建10KV电力管网0.9公里，规模为24回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w:t>
            </w:r>
            <w:r>
              <w:rPr>
                <w:rFonts w:hint="eastAsia" w:ascii="宋体" w:hAnsi="宋体" w:cs="宋体"/>
                <w:color w:val="000000" w:themeColor="text1"/>
                <w:spacing w:val="-6"/>
                <w:w w:val="98"/>
                <w:kern w:val="0"/>
                <w:sz w:val="15"/>
                <w:szCs w:val="15"/>
                <w:highlight w:val="none"/>
              </w:rPr>
              <w:t>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62</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Z006电力管网工程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花山南路至威尼斯水上乐园</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新建10KV电力管网1.4公里，规模为36回</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电力管网</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w:t>
            </w:r>
            <w:r>
              <w:rPr>
                <w:rFonts w:hint="eastAsia" w:ascii="宋体" w:hAnsi="宋体" w:cs="宋体"/>
                <w:color w:val="000000" w:themeColor="text1"/>
                <w:spacing w:val="-6"/>
                <w:w w:val="98"/>
                <w:kern w:val="0"/>
                <w:sz w:val="15"/>
                <w:szCs w:val="15"/>
                <w:highlight w:val="none"/>
              </w:rPr>
              <w:t>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95</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95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31</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31</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城市通信设施</w:t>
            </w: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通信设施</w:t>
            </w:r>
          </w:p>
          <w:p>
            <w:pPr>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及管线</w:t>
            </w: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接入网机房新建项目</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联通公司新建、搬迁传输设备20余套，新建光缆30余公里；电信新建4个机房及机柜、传输及电源等配套建设；移动新建第二中心机房及4个汇聚机房</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通信设施</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同步实施通信基础设施建设，满足通讯需求</w:t>
            </w:r>
          </w:p>
        </w:tc>
        <w:tc>
          <w:tcPr>
            <w:tcW w:w="884"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联通公司、移动公司、电信公司、广电公司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5G基站新建项目</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新建城区5G基站400余个及配套管线</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通信设施</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同步实施通信基础设施建设，满足通讯需求</w:t>
            </w: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驻地网新建项目</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新建楼盘FTTH端口6.5万个</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通信设施</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900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900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400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同步实施通信基础设施建设，满足通讯需求</w:t>
            </w: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景城乡融合发展连接通信管道项目</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新建通信管道30管孔公里</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通信管道</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50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50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景城乡融合发展连接道路沿线信基础设施建设</w:t>
            </w: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4G基站优化新建项目</w:t>
            </w:r>
          </w:p>
        </w:tc>
        <w:tc>
          <w:tcPr>
            <w:tcW w:w="567" w:type="dxa"/>
            <w:noWrap/>
            <w:vAlign w:val="center"/>
          </w:tcPr>
          <w:p>
            <w:pPr>
              <w:widowControl/>
              <w:snapToGrid w:val="0"/>
              <w:spacing w:line="300" w:lineRule="exact"/>
              <w:jc w:val="center"/>
              <w:rPr>
                <w:rFonts w:ascii="宋体" w:hAnsi="宋体" w:cs="宋体"/>
                <w:b/>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城区优化或新建4G基站约300个</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通信设施</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800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800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同步实施通信基础设施建设，满足通讯需求</w:t>
            </w: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62"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城市燃气设施</w:t>
            </w: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天然气管网</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南川南大街延伸段燃气管网工程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南大街延伸段</w:t>
            </w:r>
          </w:p>
        </w:tc>
        <w:tc>
          <w:tcPr>
            <w:tcW w:w="1202"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新建de110PE管约3000米</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燃气主管道</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204</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南大街延伸段沿线供气气源</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渝川燃气公司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ind w:left="-58" w:leftChars="-28" w:right="-96" w:rightChars="-46"/>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南川区景城大道路燃气管网工程（一期）</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景城大道</w:t>
            </w:r>
          </w:p>
        </w:tc>
        <w:tc>
          <w:tcPr>
            <w:tcW w:w="1202"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新建de160PE管约1000米</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燃气主管道</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68</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38</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景城乡融合发展连接道路</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渝川燃气公司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南川永隆山燃气管网工程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永隆山</w:t>
            </w:r>
          </w:p>
        </w:tc>
        <w:tc>
          <w:tcPr>
            <w:tcW w:w="1202"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新建de160PE管约2000米</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燃气主管道</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136</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136</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76</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永隆山居民供气气源</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渝川燃气公司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南川青平至大观燃气管道工程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大观</w:t>
            </w:r>
          </w:p>
        </w:tc>
        <w:tc>
          <w:tcPr>
            <w:tcW w:w="1202"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新建D159钢管约5000米</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燃气主管道</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375</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375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180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大观中医药产业园供气气源源</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渝川燃气公司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南川金山二路燃气管网工程</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金山二路至河滨路</w:t>
            </w:r>
          </w:p>
        </w:tc>
        <w:tc>
          <w:tcPr>
            <w:tcW w:w="1202"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新建D159钢管约3000米（涉及管线进入综合管廊）</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燃气主管道</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225</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115</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连接金山二路及河滨路周边供气气源</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渝川燃气公司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南川区景城大道燃气管网工程（二期）</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景城大道</w:t>
            </w:r>
          </w:p>
        </w:tc>
        <w:tc>
          <w:tcPr>
            <w:tcW w:w="1202"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新建D159钢管约2000米（涉及管线进入综合管廊）</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燃气主管道</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随景城乡融合发展连接道路建设规划，提供周边供气气源</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渝川燃气公司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2"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588"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公园及道路</w:t>
            </w: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重庆市南川区金华体育公园建设项目</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东金华片区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绿化给排水、景观配套设施（垃圾箱、座椅等）、运动设施、休憩设施（亭、廊等）、景观照明系统、文化小品、景观园路、背景音响系统等。</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公园海绵设施</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区商贸物流园区管委会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重庆市南川区商贸物流园区连接干道景观工程建设项目</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林堡、东金华片区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占地面积约69亩。项目起于半溪口，止于东胜工业园区大道口，全长3.9公里，沿南川区商贸物流园区连接干道（石雷路）新建道路两侧绿化带4.6公顷，建设内容包括绿化工程、景观配套设施（垃圾箱、座椅等）、文化小品、景观照明系统等。</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公园海绵设施</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区商贸物流园区管委会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渝南大道延伸路（二期）建设工程海绵城市专项设计</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渝南大道延伸路</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道路1.5公里、宽40米，建设生物滞留带、透水铺装等海绵设施</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道路海绵设施</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南川区龚家塘至六角楼片区路网改造工程</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龚家塘片区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改造及新建道路7条，共5331米，同步建设 生物滞留带、透水铺装等海绵设施</w:t>
            </w:r>
          </w:p>
        </w:tc>
        <w:tc>
          <w:tcPr>
            <w:tcW w:w="783"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道路海绵设施</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来游公园</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来游</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2.14公顷，建设绿化、道路、休闲设施等</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重庆蓝华中浩陶然置业有限公司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九鼎山公园</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九鼎山</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26.72公顷，建设绿化、道路、休闲设施等</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凤嘴江生态公园</w:t>
            </w:r>
          </w:p>
        </w:tc>
        <w:tc>
          <w:tcPr>
            <w:tcW w:w="567" w:type="dxa"/>
            <w:noWrap/>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74.97公顷，建设绿化、道路、休闲设施等</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改扩建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南川区高铁新城文化体育公园</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沿渝湘高铁周边，打造占地约100亩集文化、旅游、休闲、娱乐、健身多功能一体的文化体育公园。</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spacing w:line="300" w:lineRule="exact"/>
              <w:jc w:val="center"/>
              <w:rPr>
                <w:rFonts w:ascii="宋体" w:hAnsi="宋体" w:cs="宋体"/>
                <w:color w:val="000000" w:themeColor="text1"/>
                <w:spacing w:val="-6"/>
                <w:w w:val="98"/>
                <w:sz w:val="15"/>
                <w:szCs w:val="15"/>
                <w:highlight w:val="none"/>
              </w:rPr>
            </w:pPr>
            <w:r>
              <w:rPr>
                <w:rFonts w:hint="eastAsia"/>
                <w:color w:val="000000" w:themeColor="text1"/>
                <w:spacing w:val="-6"/>
                <w:w w:val="98"/>
                <w:sz w:val="15"/>
                <w:szCs w:val="15"/>
                <w:highlight w:val="none"/>
              </w:rPr>
              <w:t>2023</w:t>
            </w:r>
          </w:p>
        </w:tc>
        <w:tc>
          <w:tcPr>
            <w:tcW w:w="567" w:type="dxa"/>
            <w:noWrap/>
            <w:vAlign w:val="center"/>
          </w:tcPr>
          <w:p>
            <w:pPr>
              <w:spacing w:line="300" w:lineRule="exact"/>
              <w:jc w:val="center"/>
              <w:rPr>
                <w:rFonts w:ascii="宋体" w:hAnsi="宋体" w:cs="宋体"/>
                <w:color w:val="000000" w:themeColor="text1"/>
                <w:spacing w:val="-6"/>
                <w:w w:val="98"/>
                <w:sz w:val="15"/>
                <w:szCs w:val="15"/>
                <w:highlight w:val="none"/>
              </w:rPr>
            </w:pPr>
            <w:r>
              <w:rPr>
                <w:rFonts w:hint="eastAsia"/>
                <w:color w:val="000000" w:themeColor="text1"/>
                <w:spacing w:val="-6"/>
                <w:w w:val="98"/>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海绵城市建设</w:t>
            </w:r>
          </w:p>
        </w:tc>
        <w:tc>
          <w:tcPr>
            <w:tcW w:w="884" w:type="dxa"/>
            <w:noWrap/>
            <w:vAlign w:val="center"/>
          </w:tcPr>
          <w:p>
            <w:pPr>
              <w:widowControl/>
              <w:snapToGrid w:val="0"/>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北环路综合管廊建设项目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北环路</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新建综合管廊长度约</w:t>
            </w:r>
            <w:r>
              <w:rPr>
                <w:rFonts w:ascii="宋体" w:hAnsi="宋体" w:cs="宋体"/>
                <w:color w:val="000000" w:themeColor="text1"/>
                <w:kern w:val="0"/>
                <w:sz w:val="15"/>
                <w:szCs w:val="15"/>
                <w:highlight w:val="none"/>
              </w:rPr>
              <w:t>1</w:t>
            </w:r>
            <w:r>
              <w:rPr>
                <w:rFonts w:hint="eastAsia" w:ascii="宋体" w:hAnsi="宋体" w:cs="宋体"/>
                <w:color w:val="000000" w:themeColor="text1"/>
                <w:kern w:val="0"/>
                <w:sz w:val="15"/>
                <w:szCs w:val="15"/>
                <w:highlight w:val="none"/>
              </w:rPr>
              <w:t>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综合管廊</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8080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8080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3080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综合管廊建设规划项目</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东环路综合管廊建设项目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东环路</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新建综合管廊长度约</w:t>
            </w:r>
            <w:r>
              <w:rPr>
                <w:rFonts w:ascii="宋体" w:hAnsi="宋体" w:cs="宋体"/>
                <w:color w:val="000000" w:themeColor="text1"/>
                <w:kern w:val="0"/>
                <w:sz w:val="15"/>
                <w:szCs w:val="15"/>
                <w:highlight w:val="none"/>
              </w:rPr>
              <w:t>1.323</w:t>
            </w:r>
            <w:r>
              <w:rPr>
                <w:rFonts w:hint="eastAsia" w:ascii="宋体" w:hAnsi="宋体" w:cs="宋体"/>
                <w:color w:val="000000" w:themeColor="text1"/>
                <w:kern w:val="0"/>
                <w:sz w:val="15"/>
                <w:szCs w:val="15"/>
                <w:highlight w:val="none"/>
              </w:rPr>
              <w:t>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综合管廊</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9</w:t>
            </w:r>
            <w:r>
              <w:rPr>
                <w:rFonts w:ascii="宋体" w:hAnsi="宋体" w:cs="宋体"/>
                <w:color w:val="000000" w:themeColor="text1"/>
                <w:spacing w:val="-6"/>
                <w:w w:val="98"/>
                <w:kern w:val="0"/>
                <w:sz w:val="15"/>
                <w:szCs w:val="15"/>
                <w:highlight w:val="none"/>
              </w:rPr>
              <w:t>261</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9261</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761</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w:t>
            </w:r>
            <w:r>
              <w:rPr>
                <w:rFonts w:ascii="宋体" w:hAnsi="宋体" w:cs="宋体"/>
                <w:color w:val="000000" w:themeColor="text1"/>
                <w:spacing w:val="-6"/>
                <w:w w:val="98"/>
                <w:kern w:val="0"/>
                <w:sz w:val="15"/>
                <w:szCs w:val="15"/>
                <w:highlight w:val="none"/>
              </w:rPr>
              <w:t>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500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综合管廊建设规划项目</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南大街的综合管廊建设项目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南大街</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新建综合管廊长度约4km</w:t>
            </w:r>
          </w:p>
        </w:tc>
        <w:tc>
          <w:tcPr>
            <w:tcW w:w="783"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综合管廊</w:t>
            </w:r>
          </w:p>
        </w:tc>
        <w:tc>
          <w:tcPr>
            <w:tcW w:w="567"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8"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8000</w:t>
            </w:r>
          </w:p>
        </w:tc>
        <w:tc>
          <w:tcPr>
            <w:tcW w:w="709" w:type="dxa"/>
            <w:noWrap/>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综合管廊建设规划项目</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362"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城市防灾减灾设施</w:t>
            </w:r>
          </w:p>
        </w:tc>
        <w:tc>
          <w:tcPr>
            <w:tcW w:w="588"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消防设施</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金佛山消防救援站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头渡镇</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按普通小型消防站标准配备消防车辆及消防装备器材，并建设山岳（绳索）、水域救援等配套训练设施</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消防站</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提升消防站服务范围</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避难场所</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北师大附属学校避难场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A-4-1、A-4-2</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有效避难面积15.05公顷</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避难场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增加防灾抗毁能力，保障城市安全和可持续发展</w:t>
            </w:r>
          </w:p>
        </w:tc>
        <w:tc>
          <w:tcPr>
            <w:tcW w:w="884"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中央花园小游园避难场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E-15-2</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有效避难面积0.27公顷</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避难场</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防洪抗旱</w:t>
            </w:r>
          </w:p>
        </w:tc>
        <w:tc>
          <w:tcPr>
            <w:tcW w:w="859" w:type="dxa"/>
            <w:vAlign w:val="center"/>
          </w:tcPr>
          <w:p>
            <w:pPr>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凤嘴江河流综合治理（凤嘴江上段防洪河堤工程）</w:t>
            </w:r>
          </w:p>
        </w:tc>
        <w:tc>
          <w:tcPr>
            <w:tcW w:w="567" w:type="dxa"/>
            <w:vAlign w:val="center"/>
          </w:tcPr>
          <w:p>
            <w:pPr>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凤嘴江上段</w:t>
            </w:r>
          </w:p>
        </w:tc>
        <w:tc>
          <w:tcPr>
            <w:tcW w:w="1202" w:type="dxa"/>
            <w:vAlign w:val="center"/>
          </w:tcPr>
          <w:p>
            <w:pPr>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全长7.29公里</w:t>
            </w:r>
          </w:p>
        </w:tc>
        <w:tc>
          <w:tcPr>
            <w:tcW w:w="783" w:type="dxa"/>
            <w:vAlign w:val="center"/>
          </w:tcPr>
          <w:p>
            <w:pPr>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防洪度汛</w:t>
            </w:r>
          </w:p>
        </w:tc>
        <w:tc>
          <w:tcPr>
            <w:tcW w:w="567" w:type="dxa"/>
            <w:vAlign w:val="center"/>
          </w:tcPr>
          <w:p>
            <w:pPr>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2024</w:t>
            </w:r>
          </w:p>
        </w:tc>
        <w:tc>
          <w:tcPr>
            <w:tcW w:w="709"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5832</w:t>
            </w:r>
          </w:p>
        </w:tc>
        <w:tc>
          <w:tcPr>
            <w:tcW w:w="708"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5832</w:t>
            </w:r>
          </w:p>
        </w:tc>
        <w:tc>
          <w:tcPr>
            <w:tcW w:w="709"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1832</w:t>
            </w:r>
          </w:p>
        </w:tc>
        <w:tc>
          <w:tcPr>
            <w:tcW w:w="709" w:type="dxa"/>
            <w:vAlign w:val="center"/>
          </w:tcPr>
          <w:p>
            <w:pPr>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一是消除防洪隐患，保证在未来汛期间能够安全度汛；二是兼顾市民广场音乐喷泉和新政府左右副楼水源热泵正常运行；三是进一步提升城市形象。</w:t>
            </w:r>
          </w:p>
        </w:tc>
        <w:tc>
          <w:tcPr>
            <w:tcW w:w="884" w:type="dxa"/>
            <w:noWrap/>
            <w:vAlign w:val="center"/>
          </w:tcPr>
          <w:p>
            <w:pPr>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来游公园</w:t>
            </w:r>
          </w:p>
        </w:tc>
        <w:tc>
          <w:tcPr>
            <w:tcW w:w="567"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来游</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2.14公顷，建设绿化、道路、休闲设施等</w:t>
            </w:r>
          </w:p>
        </w:tc>
        <w:tc>
          <w:tcPr>
            <w:tcW w:w="783"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提高公园品质,增加公园服务半径</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重庆蓝华中浩陶然置业有限公司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九鼎山公园</w:t>
            </w:r>
          </w:p>
        </w:tc>
        <w:tc>
          <w:tcPr>
            <w:tcW w:w="567"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九鼎山</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26.72公顷，建设绿化、道路、休闲设施等</w:t>
            </w:r>
          </w:p>
        </w:tc>
        <w:tc>
          <w:tcPr>
            <w:tcW w:w="783"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改建</w:t>
            </w:r>
          </w:p>
        </w:tc>
        <w:tc>
          <w:tcPr>
            <w:tcW w:w="567"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提高公园品质,增加公园服务半径</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凤嘴江生态公园</w:t>
            </w:r>
          </w:p>
        </w:tc>
        <w:tc>
          <w:tcPr>
            <w:tcW w:w="567"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74.97公顷，建设绿化、道路、休闲设施等</w:t>
            </w:r>
          </w:p>
        </w:tc>
        <w:tc>
          <w:tcPr>
            <w:tcW w:w="783"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改扩建</w:t>
            </w:r>
          </w:p>
        </w:tc>
        <w:tc>
          <w:tcPr>
            <w:tcW w:w="567"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28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提高公园品质,增加公园服务半径</w:t>
            </w:r>
          </w:p>
        </w:tc>
        <w:tc>
          <w:tcPr>
            <w:tcW w:w="88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南川区高铁新城文化体育公园</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南川工业园区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沿渝湘高铁周边，打造占地约100亩集文化、旅游、休闲、娱乐、健身多功能一体的文化体育公园。</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公园</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spacing w:line="300" w:lineRule="exact"/>
              <w:jc w:val="center"/>
              <w:rPr>
                <w:rFonts w:ascii="宋体" w:hAnsi="宋体" w:cs="宋体"/>
                <w:color w:val="000000" w:themeColor="text1"/>
                <w:spacing w:val="-6"/>
                <w:w w:val="98"/>
                <w:sz w:val="15"/>
                <w:szCs w:val="15"/>
                <w:highlight w:val="none"/>
              </w:rPr>
            </w:pPr>
            <w:r>
              <w:rPr>
                <w:rFonts w:hint="eastAsia"/>
                <w:color w:val="000000" w:themeColor="text1"/>
                <w:spacing w:val="-6"/>
                <w:w w:val="98"/>
                <w:sz w:val="15"/>
                <w:szCs w:val="15"/>
                <w:highlight w:val="none"/>
              </w:rPr>
              <w:t>2023</w:t>
            </w:r>
          </w:p>
        </w:tc>
        <w:tc>
          <w:tcPr>
            <w:tcW w:w="567" w:type="dxa"/>
            <w:vAlign w:val="center"/>
          </w:tcPr>
          <w:p>
            <w:pPr>
              <w:spacing w:line="300" w:lineRule="exact"/>
              <w:jc w:val="center"/>
              <w:rPr>
                <w:rFonts w:ascii="宋体" w:hAnsi="宋体" w:cs="宋体"/>
                <w:color w:val="000000" w:themeColor="text1"/>
                <w:spacing w:val="-6"/>
                <w:w w:val="98"/>
                <w:sz w:val="15"/>
                <w:szCs w:val="15"/>
                <w:highlight w:val="none"/>
              </w:rPr>
            </w:pPr>
            <w:r>
              <w:rPr>
                <w:rFonts w:hint="eastAsia"/>
                <w:color w:val="000000" w:themeColor="text1"/>
                <w:spacing w:val="-6"/>
                <w:w w:val="98"/>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提高公园品质,增加公园服务半径</w:t>
            </w:r>
          </w:p>
        </w:tc>
        <w:tc>
          <w:tcPr>
            <w:tcW w:w="884" w:type="dxa"/>
            <w:vAlign w:val="center"/>
          </w:tcPr>
          <w:p>
            <w:pPr>
              <w:widowControl/>
              <w:snapToGrid w:val="0"/>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园业集团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环卫设施</w:t>
            </w: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照明</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南川区红茶厂片区道路照明设施工程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红茶厂片区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新建红茶厂道路照明设施建设464根双臂</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照明设施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348</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348</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116</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河滨两岸灯饰、滨湖公馆楼宇灯饰建设</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河滨两岸</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对滨河两岸、滨湖公馆楼宇灯饰建设</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景观灯饰</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9000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6500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南川区龚家塘至六角楼片区路网工程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龚家塘至六角楼片区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新建南川区龚家塘至六角楼片区路网照明设施332根路灯</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照明设施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249</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249</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107</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南川区渝南大道延伸路（二期）建设</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渝南大道延伸路</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新建南川区渝南大道延伸路（二期）照明设施106根</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照明设施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2020.8</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2021.12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城市垃圾处理设施</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城乡垃圾收运系统项目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w:t>
            </w:r>
          </w:p>
        </w:tc>
        <w:tc>
          <w:tcPr>
            <w:tcW w:w="1202" w:type="dxa"/>
            <w:vAlign w:val="center"/>
          </w:tcPr>
          <w:p>
            <w:pPr>
              <w:widowControl/>
              <w:snapToGrid w:val="0"/>
              <w:spacing w:line="260" w:lineRule="exact"/>
              <w:ind w:left="-58" w:leftChars="-28" w:right="-92" w:rightChars="-44"/>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垃圾转运站（点）3座；升级改造片区压缩站7座，配置31吨拉臂钩车5辆，5吨吸污车1辆，新增15立方米移动压缩箱21个；新建生活垃圾二次转运站1座，配置1套压缩设备、7辆49吨移动式垃圾牵引车；新增一批道路清扫车、洒水车；新增一批餐厨垃圾收集转运车；新增清漂船1艘；农村地区因地制宜推进沤肥池建设；进一步完善垃圾分类积分兑换超市、分类垃圾桶等设施”</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垃圾处理</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25797</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24107</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13607</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1450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240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垃圾处理</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南川城区</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新建设环卫停车场1座；新建建筑垃圾消纳场1座；大件垃圾处置场1座</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环卫停车</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18500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1500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公共厕所</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城市公厕建设项目</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建成区内</w:t>
            </w:r>
          </w:p>
        </w:tc>
        <w:tc>
          <w:tcPr>
            <w:tcW w:w="1202"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结合新城开发、旧城改造等新开发项目规划配套建设公共厕所15座，对现有官堰桥公厕、动步游园公厕、渚堰塘公厕、皂角井公厕、南大桥公厕、名润公厕、川湘公厕、金易公厕、长远菜场公厕、西苑公厕、中央花园公厕、滨江壹号公厕、东风路公厕、盛丰源公厕、荷花池公厕等公共厕所实施升级改造。</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公共厕所</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新建、改建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1700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360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360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380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改善如厕环境，提高如厕方便度</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62"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p>
          <w:p>
            <w:pPr>
              <w:widowControl/>
              <w:snapToGrid w:val="0"/>
              <w:spacing w:line="300" w:lineRule="exact"/>
              <w:jc w:val="center"/>
              <w:rPr>
                <w:rFonts w:ascii="宋体" w:hAnsi="宋体" w:cs="宋体"/>
                <w:color w:val="000000" w:themeColor="text1"/>
                <w:kern w:val="0"/>
                <w:sz w:val="15"/>
                <w:szCs w:val="15"/>
                <w:highlight w:val="none"/>
              </w:rPr>
            </w:pPr>
          </w:p>
          <w:p>
            <w:pPr>
              <w:widowControl/>
              <w:snapToGrid w:val="0"/>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智慧城市基础设施</w:t>
            </w:r>
          </w:p>
        </w:tc>
        <w:tc>
          <w:tcPr>
            <w:tcW w:w="588"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智慧消防平台</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城市消防远程监控系统建设</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bCs/>
                <w:color w:val="000000" w:themeColor="text1"/>
                <w:kern w:val="0"/>
                <w:sz w:val="15"/>
                <w:szCs w:val="15"/>
                <w:highlight w:val="none"/>
              </w:rPr>
              <w:t>南川建成区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对全区火灾高危单位、高层建筑已建成的火灾自动报警系统、消防水系统、气体灭火系统、干粉灭火系统、电气火灾监控系统、防排烟系统、可燃气体监测系统、防火分隔系统、消防供配电系统、消防电梯系统等消防设施以及消防控制室、疏散通道、安全出口等重点部位加装城市消防远程监控系统终端，联入城市消防远程监控系统，实现对联网单位消防设施、内部消防管理的远程动态监控。</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智慧消防</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1600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1600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解决辖区内高危单位和高层建筑日常监管盲区、隐患整改时效、火灾预警联动等问题，提高城市预防和抗御火灾的综合能力。</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数字基础设施重点工程</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融合基础设施</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bCs/>
                <w:color w:val="000000" w:themeColor="text1"/>
                <w:kern w:val="0"/>
                <w:sz w:val="15"/>
                <w:szCs w:val="15"/>
                <w:highlight w:val="none"/>
              </w:rPr>
              <w:t>南川建成区</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加快城市骨干道路智慧灯杆、智慧交通综合平台、新能源汽车充电桩、多车型共享充换电示范站、智慧燃气、智慧水务、智慧气象“四天”系统等项目建设。</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智慧城市</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区经济信息委（区大数据发展局）、区发展改革委、区交通局、区水利局、区气象局等区级相关部门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snapToGrid w:val="0"/>
              <w:spacing w:line="300" w:lineRule="exact"/>
              <w:jc w:val="center"/>
              <w:rPr>
                <w:rFonts w:ascii="宋体" w:hAnsi="宋体"/>
                <w:bCs/>
                <w:color w:val="000000" w:themeColor="text1"/>
                <w:kern w:val="0"/>
                <w:sz w:val="15"/>
                <w:szCs w:val="15"/>
                <w:highlight w:val="none"/>
              </w:rPr>
            </w:pPr>
            <w:r>
              <w:rPr>
                <w:rFonts w:hint="eastAsia" w:ascii="宋体" w:hAnsi="宋体"/>
                <w:bCs/>
                <w:color w:val="000000" w:themeColor="text1"/>
                <w:kern w:val="0"/>
                <w:sz w:val="15"/>
                <w:szCs w:val="15"/>
                <w:highlight w:val="none"/>
              </w:rPr>
              <w:t>南川区智慧城管平台</w:t>
            </w:r>
          </w:p>
        </w:tc>
        <w:tc>
          <w:tcPr>
            <w:tcW w:w="567" w:type="dxa"/>
            <w:vAlign w:val="center"/>
          </w:tcPr>
          <w:p>
            <w:pPr>
              <w:snapToGrid w:val="0"/>
              <w:spacing w:line="300" w:lineRule="exact"/>
              <w:jc w:val="center"/>
              <w:rPr>
                <w:rFonts w:ascii="宋体" w:hAnsi="宋体"/>
                <w:bCs/>
                <w:color w:val="000000" w:themeColor="text1"/>
                <w:kern w:val="0"/>
                <w:sz w:val="15"/>
                <w:szCs w:val="15"/>
                <w:highlight w:val="none"/>
              </w:rPr>
            </w:pPr>
            <w:r>
              <w:rPr>
                <w:rFonts w:hint="eastAsia" w:ascii="宋体" w:hAnsi="宋体"/>
                <w:bCs/>
                <w:color w:val="000000" w:themeColor="text1"/>
                <w:kern w:val="0"/>
                <w:sz w:val="15"/>
                <w:szCs w:val="15"/>
                <w:highlight w:val="none"/>
              </w:rPr>
              <w:t>南川建成区</w:t>
            </w:r>
          </w:p>
        </w:tc>
        <w:tc>
          <w:tcPr>
            <w:tcW w:w="1202" w:type="dxa"/>
            <w:vAlign w:val="center"/>
          </w:tcPr>
          <w:p>
            <w:pPr>
              <w:snapToGrid w:val="0"/>
              <w:spacing w:line="280" w:lineRule="exact"/>
              <w:jc w:val="center"/>
              <w:rPr>
                <w:rFonts w:ascii="宋体" w:hAnsi="宋体"/>
                <w:bCs/>
                <w:color w:val="000000" w:themeColor="text1"/>
                <w:kern w:val="0"/>
                <w:sz w:val="15"/>
                <w:szCs w:val="15"/>
                <w:highlight w:val="none"/>
              </w:rPr>
            </w:pPr>
            <w:r>
              <w:rPr>
                <w:rFonts w:hint="eastAsia" w:ascii="宋体" w:hAnsi="宋体"/>
                <w:bCs/>
                <w:color w:val="000000" w:themeColor="text1"/>
                <w:kern w:val="0"/>
                <w:sz w:val="15"/>
                <w:szCs w:val="15"/>
                <w:highlight w:val="none"/>
              </w:rPr>
              <w:t>加快建设智慧城管平台，建设智慧市政设施、智慧园林绿化、智慧环境卫生、智慧城管执法、城市综合管理服务系统，将智慧城管平台建设成为城市综合治理“一网统管”、城市运行安全“一屏通览”、融合智慧调度“一键联动”的有效载体。</w:t>
            </w:r>
          </w:p>
        </w:tc>
        <w:tc>
          <w:tcPr>
            <w:tcW w:w="783" w:type="dxa"/>
            <w:vAlign w:val="center"/>
          </w:tcPr>
          <w:p>
            <w:pPr>
              <w:snapToGrid w:val="0"/>
              <w:spacing w:line="300" w:lineRule="exact"/>
              <w:jc w:val="center"/>
              <w:rPr>
                <w:rFonts w:ascii="宋体" w:hAnsi="宋体"/>
                <w:bCs/>
                <w:color w:val="000000" w:themeColor="text1"/>
                <w:kern w:val="0"/>
                <w:sz w:val="15"/>
                <w:szCs w:val="15"/>
                <w:highlight w:val="none"/>
              </w:rPr>
            </w:pPr>
            <w:r>
              <w:rPr>
                <w:rFonts w:hint="eastAsia" w:ascii="宋体" w:hAnsi="宋体" w:cs="宋体"/>
                <w:color w:val="000000" w:themeColor="text1"/>
                <w:kern w:val="0"/>
                <w:sz w:val="15"/>
                <w:szCs w:val="15"/>
                <w:highlight w:val="none"/>
              </w:rPr>
              <w:t>智慧城市</w:t>
            </w:r>
          </w:p>
        </w:tc>
        <w:tc>
          <w:tcPr>
            <w:tcW w:w="567" w:type="dxa"/>
            <w:vAlign w:val="center"/>
          </w:tcPr>
          <w:p>
            <w:pPr>
              <w:snapToGrid w:val="0"/>
              <w:spacing w:line="300" w:lineRule="exact"/>
              <w:jc w:val="center"/>
              <w:rPr>
                <w:rFonts w:ascii="宋体" w:hAnsi="宋体"/>
                <w:bCs/>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bCs/>
                <w:color w:val="000000" w:themeColor="text1"/>
                <w:spacing w:val="-6"/>
                <w:w w:val="98"/>
                <w:kern w:val="0"/>
                <w:sz w:val="15"/>
                <w:szCs w:val="15"/>
                <w:highlight w:val="none"/>
              </w:rPr>
              <w:t>2022</w:t>
            </w:r>
          </w:p>
        </w:tc>
        <w:tc>
          <w:tcPr>
            <w:tcW w:w="567" w:type="dxa"/>
            <w:vAlign w:val="center"/>
          </w:tcPr>
          <w:p>
            <w:pPr>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bCs/>
                <w:color w:val="000000" w:themeColor="text1"/>
                <w:spacing w:val="-6"/>
                <w:w w:val="98"/>
                <w:kern w:val="0"/>
                <w:sz w:val="15"/>
                <w:szCs w:val="15"/>
                <w:highlight w:val="none"/>
              </w:rPr>
              <w:t>2025</w:t>
            </w:r>
          </w:p>
        </w:tc>
        <w:tc>
          <w:tcPr>
            <w:tcW w:w="709" w:type="dxa"/>
            <w:vAlign w:val="center"/>
          </w:tcPr>
          <w:p>
            <w:pPr>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bCs/>
                <w:color w:val="000000" w:themeColor="text1"/>
                <w:spacing w:val="-6"/>
                <w:w w:val="98"/>
                <w:kern w:val="0"/>
                <w:sz w:val="15"/>
                <w:szCs w:val="15"/>
                <w:highlight w:val="none"/>
              </w:rPr>
              <w:t>3300</w:t>
            </w:r>
          </w:p>
        </w:tc>
        <w:tc>
          <w:tcPr>
            <w:tcW w:w="708" w:type="dxa"/>
            <w:vAlign w:val="center"/>
          </w:tcPr>
          <w:p>
            <w:pPr>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bCs/>
                <w:color w:val="000000" w:themeColor="text1"/>
                <w:spacing w:val="-6"/>
                <w:w w:val="98"/>
                <w:kern w:val="0"/>
                <w:sz w:val="15"/>
                <w:szCs w:val="15"/>
                <w:highlight w:val="none"/>
              </w:rPr>
              <w:t>3300</w:t>
            </w:r>
          </w:p>
        </w:tc>
        <w:tc>
          <w:tcPr>
            <w:tcW w:w="709" w:type="dxa"/>
            <w:vAlign w:val="center"/>
          </w:tcPr>
          <w:p>
            <w:pPr>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8" w:type="dxa"/>
            <w:vAlign w:val="center"/>
          </w:tcPr>
          <w:p>
            <w:pPr>
              <w:widowControl/>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709" w:type="dxa"/>
            <w:vAlign w:val="center"/>
          </w:tcPr>
          <w:p>
            <w:pPr>
              <w:widowControl/>
              <w:snapToGrid w:val="0"/>
              <w:spacing w:line="300" w:lineRule="exact"/>
              <w:jc w:val="center"/>
              <w:rPr>
                <w:rFonts w:ascii="宋体" w:hAnsi="宋体"/>
                <w:bCs/>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w:t>
            </w:r>
          </w:p>
        </w:tc>
        <w:tc>
          <w:tcPr>
            <w:tcW w:w="1134" w:type="dxa"/>
            <w:vAlign w:val="center"/>
          </w:tcPr>
          <w:p>
            <w:pPr>
              <w:snapToGrid w:val="0"/>
              <w:spacing w:line="300" w:lineRule="exact"/>
              <w:jc w:val="center"/>
              <w:rPr>
                <w:rFonts w:ascii="宋体" w:hAnsi="宋体"/>
                <w:bCs/>
                <w:color w:val="000000" w:themeColor="text1"/>
                <w:kern w:val="0"/>
                <w:sz w:val="15"/>
                <w:szCs w:val="15"/>
                <w:highlight w:val="none"/>
              </w:rPr>
            </w:pPr>
            <w:r>
              <w:rPr>
                <w:rFonts w:hint="eastAsia" w:ascii="宋体" w:hAnsi="宋体" w:cs="宋体"/>
                <w:color w:val="000000" w:themeColor="text1"/>
                <w:kern w:val="0"/>
                <w:sz w:val="15"/>
                <w:szCs w:val="15"/>
                <w:highlight w:val="none"/>
              </w:rPr>
              <w:t>——</w:t>
            </w:r>
          </w:p>
        </w:tc>
        <w:tc>
          <w:tcPr>
            <w:tcW w:w="884" w:type="dxa"/>
            <w:noWrap/>
            <w:vAlign w:val="center"/>
          </w:tcPr>
          <w:p>
            <w:pPr>
              <w:snapToGrid w:val="0"/>
              <w:spacing w:line="300" w:lineRule="exact"/>
              <w:jc w:val="center"/>
              <w:rPr>
                <w:rFonts w:ascii="宋体" w:hAnsi="宋体"/>
                <w:bCs/>
                <w:color w:val="000000" w:themeColor="text1"/>
                <w:kern w:val="0"/>
                <w:sz w:val="15"/>
                <w:szCs w:val="15"/>
                <w:highlight w:val="none"/>
              </w:rPr>
            </w:pPr>
            <w:r>
              <w:rPr>
                <w:rFonts w:hint="eastAsia" w:ascii="宋体" w:hAnsi="宋体" w:cs="宋体"/>
                <w:color w:val="000000" w:themeColor="text1"/>
                <w:kern w:val="0"/>
                <w:sz w:val="15"/>
                <w:szCs w:val="15"/>
                <w:highlight w:val="none"/>
              </w:rPr>
              <w:t>区城市管理局、区经济信息委（区大数据发展局）、区交通局、区生态环境局等区级相关部门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数据共享交换标准体系</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bCs/>
                <w:color w:val="000000" w:themeColor="text1"/>
                <w:kern w:val="0"/>
                <w:sz w:val="15"/>
                <w:szCs w:val="15"/>
                <w:highlight w:val="none"/>
              </w:rPr>
              <w:t>南川建成区</w:t>
            </w:r>
          </w:p>
        </w:tc>
        <w:tc>
          <w:tcPr>
            <w:tcW w:w="1202" w:type="dxa"/>
            <w:vAlign w:val="center"/>
          </w:tcPr>
          <w:p>
            <w:pPr>
              <w:widowControl/>
              <w:snapToGrid w:val="0"/>
              <w:spacing w:line="280" w:lineRule="exact"/>
              <w:ind w:left="-79" w:leftChars="-38" w:right="-52" w:rightChars="-25"/>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对标“云长制”工作要求，一是普查政务数据资源家底，编制《南川区政务数据资源“三清单”》，有效助推政务数据资源汇聚，制定全区统一的政务数据资源共享交换规则与流程，区级各部门根据权责界定本部门政务数据资源的生产责任和使用权限，明确划分政务数据资源可共享类型及范围、不可共享类型及说明、需求类型等内容，确保各部门政务数据资</w:t>
            </w:r>
          </w:p>
        </w:tc>
        <w:tc>
          <w:tcPr>
            <w:tcW w:w="783" w:type="dxa"/>
            <w:vAlign w:val="center"/>
          </w:tcPr>
          <w:p>
            <w:pPr>
              <w:spacing w:line="300" w:lineRule="exact"/>
              <w:jc w:val="center"/>
              <w:rPr>
                <w:color w:val="000000" w:themeColor="text1"/>
                <w:sz w:val="15"/>
                <w:szCs w:val="18"/>
                <w:highlight w:val="none"/>
              </w:rPr>
            </w:pPr>
            <w:r>
              <w:rPr>
                <w:rFonts w:hint="eastAsia"/>
                <w:color w:val="000000" w:themeColor="text1"/>
                <w:sz w:val="15"/>
                <w:szCs w:val="18"/>
                <w:highlight w:val="none"/>
              </w:rPr>
              <w:t>智慧城市</w:t>
            </w:r>
          </w:p>
        </w:tc>
        <w:tc>
          <w:tcPr>
            <w:tcW w:w="567" w:type="dxa"/>
            <w:vAlign w:val="center"/>
          </w:tcPr>
          <w:p>
            <w:pPr>
              <w:spacing w:line="300" w:lineRule="exact"/>
              <w:jc w:val="center"/>
              <w:rPr>
                <w:color w:val="000000" w:themeColor="text1"/>
                <w:sz w:val="15"/>
                <w:szCs w:val="18"/>
                <w:highlight w:val="none"/>
              </w:rPr>
            </w:pPr>
            <w:r>
              <w:rPr>
                <w:rFonts w:hint="eastAsia"/>
                <w:color w:val="000000" w:themeColor="text1"/>
                <w:sz w:val="15"/>
                <w:szCs w:val="18"/>
                <w:highlight w:val="none"/>
              </w:rPr>
              <w:t>新建</w:t>
            </w:r>
          </w:p>
        </w:tc>
        <w:tc>
          <w:tcPr>
            <w:tcW w:w="567"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2022</w:t>
            </w:r>
          </w:p>
        </w:tc>
        <w:tc>
          <w:tcPr>
            <w:tcW w:w="567"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2025</w:t>
            </w:r>
          </w:p>
        </w:tc>
        <w:tc>
          <w:tcPr>
            <w:tcW w:w="709"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8"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9"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9"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9"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9"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9"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8"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709" w:type="dxa"/>
            <w:vAlign w:val="center"/>
          </w:tcPr>
          <w:p>
            <w:pPr>
              <w:spacing w:line="300" w:lineRule="exact"/>
              <w:jc w:val="center"/>
              <w:rPr>
                <w:color w:val="000000" w:themeColor="text1"/>
                <w:spacing w:val="-6"/>
                <w:w w:val="98"/>
                <w:sz w:val="15"/>
                <w:szCs w:val="18"/>
                <w:highlight w:val="none"/>
              </w:rPr>
            </w:pPr>
            <w:r>
              <w:rPr>
                <w:rFonts w:hint="eastAsia"/>
                <w:color w:val="000000" w:themeColor="text1"/>
                <w:spacing w:val="-6"/>
                <w:w w:val="98"/>
                <w:sz w:val="15"/>
                <w:szCs w:val="18"/>
                <w:highlight w:val="none"/>
              </w:rPr>
              <w:t>——</w:t>
            </w:r>
          </w:p>
        </w:tc>
        <w:tc>
          <w:tcPr>
            <w:tcW w:w="1134" w:type="dxa"/>
            <w:vAlign w:val="center"/>
          </w:tcPr>
          <w:p>
            <w:pPr>
              <w:spacing w:line="300" w:lineRule="exact"/>
              <w:jc w:val="center"/>
              <w:rPr>
                <w:color w:val="000000" w:themeColor="text1"/>
                <w:sz w:val="15"/>
                <w:szCs w:val="18"/>
                <w:highlight w:val="none"/>
              </w:rPr>
            </w:pPr>
            <w:r>
              <w:rPr>
                <w:rFonts w:hint="eastAsia"/>
                <w:color w:val="000000" w:themeColor="text1"/>
                <w:sz w:val="15"/>
                <w:szCs w:val="18"/>
                <w:highlight w:val="none"/>
              </w:rPr>
              <w:t>——</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区经济信息委（区大数据发展局）等区级相关部门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62"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清水河岸治理</w:t>
            </w: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生态综合治理</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凤嘴江河道综合治理（凤嘴江3号闸门建设工程）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凤嘴江</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工程由闸室和消能设施段组成，闸室泄流净宽37.2m，闸底板高程为518.30m，共设6孔，孔口尺寸为6.2m（宽）×5.2m（高），闸门门叶构造为钢板闸门结构，闸门为成套设备。</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生态景观</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续建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2020</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2022</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2730.</w:t>
            </w:r>
            <w:r>
              <w:rPr>
                <w:rFonts w:hint="eastAsia" w:ascii="宋体" w:hAnsi="宋体" w:cs="宋体"/>
                <w:color w:val="000000" w:themeColor="text1"/>
                <w:spacing w:val="-6"/>
                <w:w w:val="98"/>
                <w:kern w:val="0"/>
                <w:sz w:val="15"/>
                <w:szCs w:val="15"/>
                <w:highlight w:val="none"/>
              </w:rPr>
              <w:t>5</w:t>
            </w:r>
          </w:p>
        </w:tc>
        <w:tc>
          <w:tcPr>
            <w:tcW w:w="708"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2430.5</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 xml:space="preserve">710 </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 xml:space="preserve">710 </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 xml:space="preserve">710 </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提高生态环境质量，加强河道修复和景观再塑</w:t>
            </w:r>
          </w:p>
        </w:tc>
        <w:tc>
          <w:tcPr>
            <w:tcW w:w="884" w:type="dxa"/>
            <w:vMerge w:val="restart"/>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半溪河西门桥至杨泗桥河道两岸绿化景观工程</w:t>
            </w:r>
          </w:p>
        </w:tc>
        <w:tc>
          <w:tcPr>
            <w:tcW w:w="567" w:type="dxa"/>
            <w:vAlign w:val="center"/>
          </w:tcPr>
          <w:p>
            <w:pPr>
              <w:widowControl/>
              <w:snapToGrid w:val="0"/>
              <w:spacing w:line="280" w:lineRule="exact"/>
              <w:jc w:val="center"/>
              <w:rPr>
                <w:rFonts w:ascii="宋体" w:hAnsi="宋体"/>
                <w:bCs/>
                <w:color w:val="000000" w:themeColor="text1"/>
                <w:kern w:val="0"/>
                <w:sz w:val="15"/>
                <w:szCs w:val="15"/>
                <w:highlight w:val="none"/>
              </w:rPr>
            </w:pPr>
            <w:r>
              <w:rPr>
                <w:rFonts w:hint="eastAsia" w:ascii="宋体" w:hAnsi="宋体" w:cs="宋体"/>
                <w:color w:val="000000" w:themeColor="text1"/>
                <w:kern w:val="0"/>
                <w:sz w:val="15"/>
                <w:szCs w:val="15"/>
                <w:highlight w:val="none"/>
              </w:rPr>
              <w:t>半溪河至杨泗桥</w:t>
            </w: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整治河道总长750米，建设服务用房总建筑面积13500平方米，实施景观绿化3.43亩，配套道路、管网、路灯等附属工程。</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生态景观</w:t>
            </w:r>
          </w:p>
        </w:tc>
        <w:tc>
          <w:tcPr>
            <w:tcW w:w="567" w:type="dxa"/>
            <w:vAlign w:val="center"/>
          </w:tcPr>
          <w:p>
            <w:pPr>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28500</w:t>
            </w:r>
          </w:p>
        </w:tc>
        <w:tc>
          <w:tcPr>
            <w:tcW w:w="708"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28500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 xml:space="preserve">9500 </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 xml:space="preserve">9500 </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 xml:space="preserve">9500 </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continue"/>
            <w:vAlign w:val="center"/>
          </w:tcPr>
          <w:p>
            <w:pPr>
              <w:spacing w:line="300" w:lineRule="exact"/>
              <w:jc w:val="center"/>
              <w:rPr>
                <w:color w:val="000000" w:themeColor="text1"/>
                <w:sz w:val="15"/>
                <w:szCs w:val="18"/>
                <w:highlight w:val="none"/>
              </w:rPr>
            </w:pP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重庆市南川区大溪河（木渡河至凤嘴江段）</w:t>
            </w:r>
          </w:p>
          <w:p>
            <w:pPr>
              <w:widowControl/>
              <w:snapToGrid w:val="0"/>
              <w:spacing w:line="280" w:lineRule="exact"/>
              <w:jc w:val="center"/>
              <w:rPr>
                <w:rFonts w:ascii="Arial" w:hAnsi="Arial" w:eastAsia="Arial" w:cs="Arial"/>
                <w:color w:val="000000" w:themeColor="text1"/>
                <w:spacing w:val="8"/>
                <w:sz w:val="25"/>
                <w:szCs w:val="25"/>
                <w:highlight w:val="none"/>
              </w:rPr>
            </w:pPr>
            <w:r>
              <w:rPr>
                <w:rFonts w:hint="eastAsia" w:ascii="宋体" w:hAnsi="宋体" w:cs="宋体"/>
                <w:color w:val="000000" w:themeColor="text1"/>
                <w:kern w:val="0"/>
                <w:sz w:val="15"/>
                <w:szCs w:val="15"/>
                <w:highlight w:val="none"/>
              </w:rPr>
              <w:t>综合治理工程</w:t>
            </w:r>
          </w:p>
          <w:p>
            <w:pPr>
              <w:widowControl/>
              <w:snapToGrid w:val="0"/>
              <w:spacing w:line="300" w:lineRule="exact"/>
              <w:jc w:val="center"/>
              <w:rPr>
                <w:rFonts w:ascii="宋体" w:hAnsi="宋体" w:cs="宋体"/>
                <w:color w:val="000000" w:themeColor="text1"/>
                <w:kern w:val="0"/>
                <w:sz w:val="15"/>
                <w:szCs w:val="15"/>
                <w:highlight w:val="none"/>
              </w:rPr>
            </w:pPr>
          </w:p>
        </w:tc>
        <w:tc>
          <w:tcPr>
            <w:tcW w:w="567"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南川区南城街道、西城街道、</w:t>
            </w:r>
          </w:p>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东城街道、南平镇。</w:t>
            </w:r>
          </w:p>
          <w:p>
            <w:pPr>
              <w:widowControl/>
              <w:snapToGrid w:val="0"/>
              <w:spacing w:line="300" w:lineRule="exact"/>
              <w:jc w:val="center"/>
              <w:rPr>
                <w:rFonts w:ascii="宋体" w:hAnsi="宋体"/>
                <w:bCs/>
                <w:color w:val="000000" w:themeColor="text1"/>
                <w:kern w:val="0"/>
                <w:sz w:val="15"/>
                <w:szCs w:val="15"/>
                <w:highlight w:val="none"/>
              </w:rPr>
            </w:pPr>
          </w:p>
        </w:tc>
        <w:tc>
          <w:tcPr>
            <w:tcW w:w="1202" w:type="dxa"/>
            <w:vAlign w:val="center"/>
          </w:tcPr>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工程治理河道总长38.7km，</w:t>
            </w:r>
          </w:p>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其中治理大溪河治理河道长29.2km，</w:t>
            </w:r>
          </w:p>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石钟溪治理河道长1km，</w:t>
            </w:r>
          </w:p>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半溪河治理河道长4.2km，</w:t>
            </w:r>
          </w:p>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小河治理河道长2.2km，</w:t>
            </w:r>
          </w:p>
          <w:p>
            <w:pPr>
              <w:widowControl/>
              <w:snapToGrid w:val="0"/>
              <w:spacing w:line="28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响水沟治理河道长2.1km，</w:t>
            </w:r>
          </w:p>
          <w:p>
            <w:pPr>
              <w:widowControl/>
              <w:snapToGrid w:val="0"/>
              <w:spacing w:line="280" w:lineRule="exact"/>
              <w:jc w:val="center"/>
              <w:rPr>
                <w:rFonts w:ascii="宋体" w:hAnsi="宋体" w:cs="宋体"/>
                <w:color w:val="000000" w:themeColor="text1"/>
                <w:kern w:val="0"/>
                <w:sz w:val="15"/>
                <w:szCs w:val="15"/>
                <w:highlight w:val="none"/>
              </w:rPr>
            </w:pP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生态景观</w:t>
            </w:r>
          </w:p>
        </w:tc>
        <w:tc>
          <w:tcPr>
            <w:tcW w:w="567" w:type="dxa"/>
            <w:vAlign w:val="center"/>
          </w:tcPr>
          <w:p>
            <w:pPr>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2023</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18000</w:t>
            </w:r>
          </w:p>
        </w:tc>
        <w:tc>
          <w:tcPr>
            <w:tcW w:w="708"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18000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 xml:space="preserve">0 </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continue"/>
            <w:vAlign w:val="center"/>
          </w:tcPr>
          <w:p>
            <w:pPr>
              <w:spacing w:line="300" w:lineRule="exact"/>
              <w:jc w:val="center"/>
              <w:rPr>
                <w:color w:val="000000" w:themeColor="text1"/>
                <w:sz w:val="15"/>
                <w:szCs w:val="18"/>
                <w:highlight w:val="none"/>
              </w:rPr>
            </w:pPr>
          </w:p>
        </w:tc>
        <w:tc>
          <w:tcPr>
            <w:tcW w:w="884" w:type="dxa"/>
            <w:vMerge w:val="continue"/>
            <w:noWrap/>
            <w:vAlign w:val="center"/>
          </w:tcPr>
          <w:p>
            <w:pPr>
              <w:widowControl/>
              <w:snapToGrid w:val="0"/>
              <w:spacing w:line="300" w:lineRule="exact"/>
              <w:jc w:val="center"/>
              <w:rPr>
                <w:rFonts w:ascii="宋体" w:hAnsi="宋体" w:cs="宋体"/>
                <w:color w:val="000000" w:themeColor="text1"/>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南川区大溪河工业园区段长江大保护水生态综合治理工程</w:t>
            </w:r>
          </w:p>
        </w:tc>
        <w:tc>
          <w:tcPr>
            <w:tcW w:w="567" w:type="dxa"/>
            <w:vAlign w:val="center"/>
          </w:tcPr>
          <w:p>
            <w:pPr>
              <w:widowControl/>
              <w:snapToGrid w:val="0"/>
              <w:spacing w:line="300" w:lineRule="exact"/>
              <w:jc w:val="center"/>
              <w:rPr>
                <w:rFonts w:hint="default" w:ascii="宋体" w:hAnsi="宋体" w:eastAsia="宋体"/>
                <w:bCs/>
                <w:color w:val="000000" w:themeColor="text1"/>
                <w:kern w:val="0"/>
                <w:sz w:val="15"/>
                <w:szCs w:val="15"/>
                <w:highlight w:val="none"/>
                <w:lang w:val="en-US" w:eastAsia="zh-CN"/>
              </w:rPr>
            </w:pPr>
            <w:r>
              <w:rPr>
                <w:rFonts w:hint="eastAsia" w:ascii="宋体" w:hAnsi="宋体"/>
                <w:bCs/>
                <w:color w:val="000000" w:themeColor="text1"/>
                <w:kern w:val="0"/>
                <w:sz w:val="15"/>
                <w:szCs w:val="15"/>
                <w:highlight w:val="none"/>
                <w:lang w:val="en-US" w:eastAsia="zh-CN"/>
              </w:rPr>
              <w:t>南川区东城阶段</w:t>
            </w:r>
          </w:p>
        </w:tc>
        <w:tc>
          <w:tcPr>
            <w:tcW w:w="1202" w:type="dxa"/>
            <w:vAlign w:val="center"/>
          </w:tcPr>
          <w:p>
            <w:pPr>
              <w:keepNext w:val="0"/>
              <w:keepLines w:val="0"/>
              <w:widowControl/>
              <w:suppressLineNumbers w:val="0"/>
              <w:jc w:val="both"/>
              <w:textAlignment w:val="center"/>
              <w:rPr>
                <w:rFonts w:ascii="方正仿宋_GBK" w:hAnsi="方正仿宋_GBK" w:eastAsia="方正仿宋_GBK" w:cs="方正仿宋_GBK"/>
                <w:i w:val="0"/>
                <w:iCs w:val="0"/>
                <w:color w:val="000000"/>
                <w:kern w:val="2"/>
                <w:sz w:val="22"/>
                <w:szCs w:val="22"/>
                <w:highlight w:val="none"/>
                <w:u w:val="none"/>
                <w:lang w:val="en-US" w:eastAsia="zh-CN" w:bidi="ar-SA"/>
              </w:rPr>
            </w:pPr>
            <w:r>
              <w:rPr>
                <w:rFonts w:hint="eastAsia" w:ascii="宋体" w:hAnsi="宋体" w:cs="宋体"/>
                <w:color w:val="000000" w:themeColor="text1"/>
                <w:kern w:val="0"/>
                <w:sz w:val="15"/>
                <w:szCs w:val="15"/>
                <w:highlight w:val="none"/>
                <w:lang w:val="en-US" w:eastAsia="zh-CN"/>
              </w:rPr>
              <w:t>本项目对大溪河工业园区段约20Km长河道开展水生态综合治理。包含河道清淤、护坡堤岸工程、步游道，对双赢集团磷石膏渣场进行综合整治，包括约300万m³的磷石膏综合利用处理、河道水污染治理及185亩磷石膏片区土地环保修复治理等建设内容，配套建设雨污管网、照明、绿化、环卫等基础设施。</w:t>
            </w:r>
          </w:p>
        </w:tc>
        <w:tc>
          <w:tcPr>
            <w:tcW w:w="783" w:type="dxa"/>
            <w:vAlign w:val="center"/>
          </w:tcPr>
          <w:p>
            <w:pPr>
              <w:widowControl/>
              <w:snapToGrid w:val="0"/>
              <w:spacing w:line="300" w:lineRule="exact"/>
              <w:jc w:val="center"/>
              <w:rPr>
                <w:rFonts w:hint="eastAsia" w:ascii="宋体" w:hAnsi="宋体" w:eastAsia="宋体" w:cs="宋体"/>
                <w:color w:val="000000" w:themeColor="text1"/>
                <w:kern w:val="0"/>
                <w:sz w:val="15"/>
                <w:szCs w:val="15"/>
                <w:highlight w:val="none"/>
                <w:lang w:val="en-US" w:eastAsia="zh-CN" w:bidi="ar-SA"/>
              </w:rPr>
            </w:pPr>
            <w:r>
              <w:rPr>
                <w:rFonts w:hint="eastAsia" w:ascii="宋体" w:hAnsi="宋体" w:cs="宋体"/>
                <w:color w:val="000000" w:themeColor="text1"/>
                <w:kern w:val="0"/>
                <w:sz w:val="15"/>
                <w:szCs w:val="15"/>
                <w:highlight w:val="none"/>
              </w:rPr>
              <w:t>生态景观</w:t>
            </w:r>
          </w:p>
        </w:tc>
        <w:tc>
          <w:tcPr>
            <w:tcW w:w="567" w:type="dxa"/>
            <w:vAlign w:val="center"/>
          </w:tcPr>
          <w:p>
            <w:pPr>
              <w:spacing w:line="300" w:lineRule="exact"/>
              <w:jc w:val="center"/>
              <w:rPr>
                <w:rFonts w:hint="eastAsia" w:ascii="宋体" w:hAnsi="宋体" w:eastAsia="宋体" w:cs="宋体"/>
                <w:color w:val="000000" w:themeColor="text1"/>
                <w:kern w:val="0"/>
                <w:sz w:val="15"/>
                <w:szCs w:val="15"/>
                <w:highlight w:val="none"/>
                <w:lang w:val="en-US" w:eastAsia="zh-CN" w:bidi="ar-SA"/>
              </w:rPr>
            </w:pPr>
            <w:r>
              <w:rPr>
                <w:rFonts w:hint="eastAsia" w:ascii="宋体" w:hAnsi="宋体" w:cs="宋体"/>
                <w:color w:val="000000" w:themeColor="text1"/>
                <w:kern w:val="0"/>
                <w:sz w:val="15"/>
                <w:szCs w:val="15"/>
                <w:highlight w:val="none"/>
              </w:rPr>
              <w:t>新建</w:t>
            </w:r>
          </w:p>
        </w:tc>
        <w:tc>
          <w:tcPr>
            <w:tcW w:w="567" w:type="dxa"/>
            <w:vAlign w:val="center"/>
          </w:tcPr>
          <w:p>
            <w:pPr>
              <w:widowControl/>
              <w:snapToGrid w:val="0"/>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2021</w:t>
            </w:r>
          </w:p>
        </w:tc>
        <w:tc>
          <w:tcPr>
            <w:tcW w:w="567" w:type="dxa"/>
            <w:vAlign w:val="center"/>
          </w:tcPr>
          <w:p>
            <w:pPr>
              <w:widowControl/>
              <w:snapToGrid w:val="0"/>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2030</w:t>
            </w:r>
          </w:p>
        </w:tc>
        <w:tc>
          <w:tcPr>
            <w:tcW w:w="709" w:type="dxa"/>
            <w:vAlign w:val="center"/>
          </w:tcPr>
          <w:p>
            <w:pPr>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80000</w:t>
            </w:r>
          </w:p>
        </w:tc>
        <w:tc>
          <w:tcPr>
            <w:tcW w:w="708" w:type="dxa"/>
            <w:vAlign w:val="center"/>
          </w:tcPr>
          <w:p>
            <w:pPr>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30000</w:t>
            </w:r>
          </w:p>
        </w:tc>
        <w:tc>
          <w:tcPr>
            <w:tcW w:w="709" w:type="dxa"/>
            <w:vAlign w:val="center"/>
          </w:tcPr>
          <w:p>
            <w:pPr>
              <w:spacing w:line="300" w:lineRule="exact"/>
              <w:jc w:val="center"/>
              <w:rPr>
                <w:rFonts w:hint="eastAsia"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0</w:t>
            </w:r>
          </w:p>
        </w:tc>
        <w:tc>
          <w:tcPr>
            <w:tcW w:w="709" w:type="dxa"/>
            <w:vAlign w:val="center"/>
          </w:tcPr>
          <w:p>
            <w:pPr>
              <w:spacing w:line="300" w:lineRule="exact"/>
              <w:jc w:val="center"/>
              <w:rPr>
                <w:rFonts w:hint="eastAsia"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0</w:t>
            </w:r>
          </w:p>
        </w:tc>
        <w:tc>
          <w:tcPr>
            <w:tcW w:w="709" w:type="dxa"/>
            <w:vAlign w:val="center"/>
          </w:tcPr>
          <w:p>
            <w:pPr>
              <w:spacing w:line="300" w:lineRule="exact"/>
              <w:jc w:val="center"/>
              <w:rPr>
                <w:rFonts w:hint="eastAsia"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0</w:t>
            </w:r>
          </w:p>
        </w:tc>
        <w:tc>
          <w:tcPr>
            <w:tcW w:w="709" w:type="dxa"/>
            <w:vAlign w:val="center"/>
          </w:tcPr>
          <w:p>
            <w:pPr>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5000</w:t>
            </w:r>
          </w:p>
        </w:tc>
        <w:tc>
          <w:tcPr>
            <w:tcW w:w="709" w:type="dxa"/>
            <w:vAlign w:val="center"/>
          </w:tcPr>
          <w:p>
            <w:pPr>
              <w:widowControl/>
              <w:snapToGrid w:val="0"/>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15000</w:t>
            </w:r>
          </w:p>
        </w:tc>
        <w:tc>
          <w:tcPr>
            <w:tcW w:w="708" w:type="dxa"/>
            <w:vAlign w:val="center"/>
          </w:tcPr>
          <w:p>
            <w:pPr>
              <w:widowControl/>
              <w:snapToGrid w:val="0"/>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10000</w:t>
            </w:r>
          </w:p>
        </w:tc>
        <w:tc>
          <w:tcPr>
            <w:tcW w:w="709" w:type="dxa"/>
            <w:vAlign w:val="center"/>
          </w:tcPr>
          <w:p>
            <w:pPr>
              <w:widowControl/>
              <w:snapToGrid w:val="0"/>
              <w:spacing w:line="300" w:lineRule="exact"/>
              <w:jc w:val="center"/>
              <w:rPr>
                <w:rFonts w:hint="default" w:ascii="宋体" w:hAnsi="宋体" w:eastAsia="宋体" w:cs="宋体"/>
                <w:color w:val="000000" w:themeColor="text1"/>
                <w:spacing w:val="-6"/>
                <w:w w:val="98"/>
                <w:kern w:val="0"/>
                <w:sz w:val="15"/>
                <w:szCs w:val="15"/>
                <w:highlight w:val="none"/>
                <w:lang w:val="en-US" w:eastAsia="zh-CN"/>
              </w:rPr>
            </w:pPr>
            <w:r>
              <w:rPr>
                <w:rFonts w:hint="eastAsia" w:ascii="宋体" w:hAnsi="宋体" w:cs="宋体"/>
                <w:color w:val="000000" w:themeColor="text1"/>
                <w:spacing w:val="-6"/>
                <w:w w:val="98"/>
                <w:kern w:val="0"/>
                <w:sz w:val="15"/>
                <w:szCs w:val="15"/>
                <w:highlight w:val="none"/>
                <w:lang w:val="en-US" w:eastAsia="zh-CN"/>
              </w:rPr>
              <w:t>50000</w:t>
            </w:r>
          </w:p>
        </w:tc>
        <w:tc>
          <w:tcPr>
            <w:tcW w:w="1134" w:type="dxa"/>
            <w:vAlign w:val="center"/>
          </w:tcPr>
          <w:p>
            <w:pPr>
              <w:spacing w:line="300" w:lineRule="exact"/>
              <w:jc w:val="center"/>
              <w:rPr>
                <w:color w:val="000000" w:themeColor="text1"/>
                <w:sz w:val="15"/>
                <w:szCs w:val="18"/>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城市更新</w:t>
            </w:r>
          </w:p>
        </w:tc>
        <w:tc>
          <w:tcPr>
            <w:tcW w:w="588" w:type="dxa"/>
            <w:vMerge w:val="restart"/>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旧城提档升级</w:t>
            </w: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棚户区改造工程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实施棚户区改造30万平方米，包括：东街片区、中心农贸市场片区、公路养护队片区、龚家塘片区、六角楼片区、劳技校片区、黄泥堡片区、书院中学片区、北环路片区、长远金佛居委片区。</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67" w:type="dxa"/>
            <w:vAlign w:val="center"/>
          </w:tcPr>
          <w:p>
            <w:pPr>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w:t>
            </w:r>
            <w:r>
              <w:rPr>
                <w:rFonts w:ascii="宋体" w:hAnsi="宋体" w:cs="宋体"/>
                <w:color w:val="000000" w:themeColor="text1"/>
                <w:spacing w:val="-6"/>
                <w:w w:val="98"/>
                <w:kern w:val="0"/>
                <w:sz w:val="15"/>
                <w:szCs w:val="15"/>
                <w:highlight w:val="none"/>
              </w:rPr>
              <w:t>50000</w:t>
            </w:r>
          </w:p>
        </w:tc>
        <w:tc>
          <w:tcPr>
            <w:tcW w:w="708"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7</w:t>
            </w:r>
            <w:r>
              <w:rPr>
                <w:rFonts w:ascii="宋体" w:hAnsi="宋体" w:cs="宋体"/>
                <w:color w:val="000000" w:themeColor="text1"/>
                <w:spacing w:val="-6"/>
                <w:w w:val="98"/>
                <w:kern w:val="0"/>
                <w:sz w:val="15"/>
                <w:szCs w:val="15"/>
                <w:highlight w:val="none"/>
              </w:rPr>
              <w:t>50000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w:t>
            </w:r>
            <w:r>
              <w:rPr>
                <w:rFonts w:ascii="宋体" w:hAnsi="宋体" w:cs="宋体"/>
                <w:color w:val="000000" w:themeColor="text1"/>
                <w:spacing w:val="-6"/>
                <w:w w:val="98"/>
                <w:kern w:val="0"/>
                <w:sz w:val="15"/>
                <w:szCs w:val="15"/>
                <w:highlight w:val="none"/>
              </w:rPr>
              <w:t>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w:t>
            </w:r>
            <w:r>
              <w:rPr>
                <w:rFonts w:ascii="宋体" w:hAnsi="宋体" w:cs="宋体"/>
                <w:color w:val="000000" w:themeColor="text1"/>
                <w:spacing w:val="-6"/>
                <w:w w:val="98"/>
                <w:kern w:val="0"/>
                <w:sz w:val="15"/>
                <w:szCs w:val="15"/>
                <w:highlight w:val="none"/>
              </w:rPr>
              <w:t>0000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ascii="宋体" w:hAnsi="宋体" w:cs="宋体"/>
                <w:color w:val="000000" w:themeColor="text1"/>
                <w:spacing w:val="-6"/>
                <w:w w:val="98"/>
                <w:kern w:val="0"/>
                <w:sz w:val="15"/>
                <w:szCs w:val="15"/>
                <w:highlight w:val="none"/>
              </w:rPr>
              <w:t>20000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restart"/>
            <w:vAlign w:val="center"/>
          </w:tcPr>
          <w:p>
            <w:pPr>
              <w:spacing w:line="300" w:lineRule="exact"/>
              <w:jc w:val="center"/>
              <w:rPr>
                <w:color w:val="000000" w:themeColor="text1"/>
                <w:sz w:val="15"/>
                <w:szCs w:val="18"/>
                <w:highlight w:val="none"/>
              </w:rPr>
            </w:pPr>
            <w:r>
              <w:rPr>
                <w:rFonts w:hint="eastAsia"/>
                <w:color w:val="000000" w:themeColor="text1"/>
                <w:sz w:val="15"/>
                <w:szCs w:val="18"/>
                <w:highlight w:val="none"/>
              </w:rPr>
              <w:t>老旧城区提档升级</w:t>
            </w: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老旧小区改造工程</w:t>
            </w:r>
          </w:p>
        </w:tc>
        <w:tc>
          <w:tcPr>
            <w:tcW w:w="567" w:type="dxa"/>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主体改造内容包括：建筑外立面改造、建筑消防设施改造、房屋楼顶防水、楼梯通道粉刷、扶手更换、管线规整、刷漆、停车库（场）、安装电梯等。环境提升改造包括：景观绿化提升改造、道路改造、市政雨污水管网改造、停车库（场）、电梯、停车库（场）、夜景照明等。规模：完成北街商场片区、盛丰源小区、世纪广场、人民医院家属院、人大家属院、火车站家属院、东方市场等老旧小区改造工程，适时启动南平煤矿家属院片区、三圣路南园片区、西大街夏家巷片区等54个老旧小区改造工程。</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67" w:type="dxa"/>
            <w:vAlign w:val="center"/>
          </w:tcPr>
          <w:p>
            <w:pPr>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改造</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021</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w:t>
            </w:r>
            <w:r>
              <w:rPr>
                <w:rFonts w:ascii="宋体" w:hAnsi="宋体" w:cs="宋体"/>
                <w:color w:val="000000" w:themeColor="text1"/>
                <w:spacing w:val="-6"/>
                <w:w w:val="98"/>
                <w:kern w:val="0"/>
                <w:sz w:val="15"/>
                <w:szCs w:val="15"/>
                <w:highlight w:val="none"/>
              </w:rPr>
              <w:t>025</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21600</w:t>
            </w:r>
          </w:p>
        </w:tc>
        <w:tc>
          <w:tcPr>
            <w:tcW w:w="708"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21600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4000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3600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0</w:t>
            </w:r>
          </w:p>
        </w:tc>
        <w:tc>
          <w:tcPr>
            <w:tcW w:w="1134" w:type="dxa"/>
            <w:vMerge w:val="continue"/>
            <w:vAlign w:val="center"/>
          </w:tcPr>
          <w:p>
            <w:pPr>
              <w:spacing w:line="300" w:lineRule="exact"/>
              <w:jc w:val="center"/>
              <w:rPr>
                <w:color w:val="000000" w:themeColor="text1"/>
                <w:sz w:val="15"/>
                <w:szCs w:val="18"/>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区住建委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东街及半溪河城市更新综合整治提升项目</w:t>
            </w:r>
          </w:p>
        </w:tc>
        <w:tc>
          <w:tcPr>
            <w:tcW w:w="567"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一是保留修缮刘邓大军指挥部，打造红色文化教育基地；二是优化改造社区创新创业基地、社区邻里中心、养老服务中心、智能停车及充电桩、老旧小区环境品质、半溪河污水管混接错接；三是拆旧新建安居工程、创业人才公寓、儿童主题公园、东街记忆文化博览园、文旅集散服务中心、半溪河两岸绿道、道路及雨污管网.</w:t>
            </w: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67" w:type="dxa"/>
            <w:vAlign w:val="center"/>
          </w:tcPr>
          <w:p>
            <w:pPr>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p>
            <w:pPr>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2019</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35.2</w:t>
            </w:r>
          </w:p>
        </w:tc>
        <w:tc>
          <w:tcPr>
            <w:tcW w:w="708"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35.2</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197000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142000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52000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p>
        </w:tc>
        <w:tc>
          <w:tcPr>
            <w:tcW w:w="1134" w:type="dxa"/>
            <w:vMerge w:val="continue"/>
            <w:vAlign w:val="center"/>
          </w:tcPr>
          <w:p>
            <w:pPr>
              <w:spacing w:line="300" w:lineRule="exact"/>
              <w:jc w:val="center"/>
              <w:rPr>
                <w:color w:val="000000" w:themeColor="text1"/>
                <w:sz w:val="15"/>
                <w:szCs w:val="18"/>
                <w:highlight w:val="none"/>
              </w:rPr>
            </w:pPr>
          </w:p>
        </w:tc>
        <w:tc>
          <w:tcPr>
            <w:tcW w:w="884" w:type="dxa"/>
            <w:noWrap/>
            <w:vAlign w:val="center"/>
          </w:tcPr>
          <w:p>
            <w:pPr>
              <w:widowControl/>
              <w:snapToGrid w:val="0"/>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2"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88" w:type="dxa"/>
            <w:vMerge w:val="continue"/>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859"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东城片区城市更新项目</w:t>
            </w:r>
          </w:p>
        </w:tc>
        <w:tc>
          <w:tcPr>
            <w:tcW w:w="567"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城区</w:t>
            </w:r>
          </w:p>
        </w:tc>
        <w:tc>
          <w:tcPr>
            <w:tcW w:w="1202" w:type="dxa"/>
            <w:vAlign w:val="center"/>
          </w:tcPr>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一、保护修缮3处：建筑面积</w:t>
            </w:r>
            <w:r>
              <w:rPr>
                <w:rFonts w:ascii="宋体" w:hAnsi="宋体" w:cs="宋体"/>
                <w:color w:val="000000" w:themeColor="text1"/>
                <w:kern w:val="0"/>
                <w:sz w:val="15"/>
                <w:szCs w:val="15"/>
                <w:highlight w:val="none"/>
              </w:rPr>
              <w:t>0.16</w:t>
            </w:r>
            <w:r>
              <w:rPr>
                <w:rFonts w:hint="eastAsia" w:ascii="宋体" w:hAnsi="宋体" w:cs="宋体"/>
                <w:color w:val="000000" w:themeColor="text1"/>
                <w:kern w:val="0"/>
                <w:sz w:val="15"/>
                <w:szCs w:val="15"/>
                <w:highlight w:val="none"/>
              </w:rPr>
              <w:t xml:space="preserve">万㎡，其中市级文保单位——刘邓大军指挥部，涉及3栋保护修缮建筑，面积919㎡； 区级文保单位——廻澜桥长亭，涉及1栋保护修缮建筑，面积 300㎡；烈士陵园涉及4栋保护修缮建筑，面积400㎡； </w:t>
            </w:r>
          </w:p>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二、改造提升</w:t>
            </w:r>
            <w:r>
              <w:rPr>
                <w:rFonts w:ascii="宋体" w:hAnsi="宋体" w:cs="宋体"/>
                <w:color w:val="000000" w:themeColor="text1"/>
                <w:kern w:val="0"/>
                <w:sz w:val="15"/>
                <w:szCs w:val="15"/>
                <w:highlight w:val="none"/>
              </w:rPr>
              <w:t>27</w:t>
            </w:r>
            <w:r>
              <w:rPr>
                <w:rFonts w:hint="eastAsia" w:ascii="宋体" w:hAnsi="宋体" w:cs="宋体"/>
                <w:color w:val="000000" w:themeColor="text1"/>
                <w:kern w:val="0"/>
                <w:sz w:val="15"/>
                <w:szCs w:val="15"/>
                <w:highlight w:val="none"/>
              </w:rPr>
              <w:t>处：建筑面积</w:t>
            </w:r>
            <w:r>
              <w:rPr>
                <w:rFonts w:ascii="宋体" w:hAnsi="宋体" w:cs="宋体"/>
                <w:color w:val="000000" w:themeColor="text1"/>
                <w:kern w:val="0"/>
                <w:sz w:val="15"/>
                <w:szCs w:val="15"/>
                <w:highlight w:val="none"/>
              </w:rPr>
              <w:t>111.98</w:t>
            </w:r>
            <w:r>
              <w:rPr>
                <w:rFonts w:hint="eastAsia" w:ascii="宋体" w:hAnsi="宋体" w:cs="宋体"/>
                <w:color w:val="000000" w:themeColor="text1"/>
                <w:kern w:val="0"/>
                <w:sz w:val="15"/>
                <w:szCs w:val="15"/>
                <w:highlight w:val="none"/>
              </w:rPr>
              <w:t xml:space="preserve">万㎡，其中涉及15个老旧小区397栋建筑，面积86.18万㎡；涉及143栋公共建 筑，面积15.84万㎡，涉及483栋其他建筑，面积9.96万㎡； </w:t>
            </w:r>
          </w:p>
          <w:p>
            <w:pPr>
              <w:widowControl/>
              <w:snapToGrid w:val="0"/>
              <w:spacing w:line="26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三、拆旧建新</w:t>
            </w:r>
            <w:r>
              <w:rPr>
                <w:rFonts w:ascii="宋体" w:hAnsi="宋体" w:cs="宋体"/>
                <w:color w:val="000000" w:themeColor="text1"/>
                <w:kern w:val="0"/>
                <w:sz w:val="15"/>
                <w:szCs w:val="15"/>
                <w:highlight w:val="none"/>
              </w:rPr>
              <w:t>20</w:t>
            </w:r>
            <w:r>
              <w:rPr>
                <w:rFonts w:hint="eastAsia" w:ascii="宋体" w:hAnsi="宋体" w:cs="宋体"/>
                <w:color w:val="000000" w:themeColor="text1"/>
                <w:kern w:val="0"/>
                <w:sz w:val="15"/>
                <w:szCs w:val="15"/>
                <w:highlight w:val="none"/>
              </w:rPr>
              <w:t>处：拆除建筑</w:t>
            </w:r>
            <w:r>
              <w:rPr>
                <w:rFonts w:ascii="宋体" w:hAnsi="宋体" w:cs="宋体"/>
                <w:color w:val="000000" w:themeColor="text1"/>
                <w:kern w:val="0"/>
                <w:sz w:val="15"/>
                <w:szCs w:val="15"/>
                <w:highlight w:val="none"/>
              </w:rPr>
              <w:t>90.73</w:t>
            </w:r>
            <w:r>
              <w:rPr>
                <w:rFonts w:hint="eastAsia" w:ascii="宋体" w:hAnsi="宋体" w:cs="宋体"/>
                <w:color w:val="000000" w:themeColor="text1"/>
                <w:kern w:val="0"/>
                <w:sz w:val="15"/>
                <w:szCs w:val="15"/>
                <w:highlight w:val="none"/>
              </w:rPr>
              <w:t>万㎡，主要为棚户区，共2993栋；新建建筑</w:t>
            </w:r>
            <w:r>
              <w:rPr>
                <w:rFonts w:ascii="宋体" w:hAnsi="宋体" w:cs="宋体"/>
                <w:color w:val="000000" w:themeColor="text1"/>
                <w:kern w:val="0"/>
                <w:sz w:val="15"/>
                <w:szCs w:val="15"/>
                <w:highlight w:val="none"/>
              </w:rPr>
              <w:t>139.85</w:t>
            </w:r>
            <w:r>
              <w:rPr>
                <w:rFonts w:hint="eastAsia" w:ascii="宋体" w:hAnsi="宋体" w:cs="宋体"/>
                <w:color w:val="000000" w:themeColor="text1"/>
                <w:kern w:val="0"/>
                <w:sz w:val="15"/>
                <w:szCs w:val="15"/>
                <w:highlight w:val="none"/>
              </w:rPr>
              <w:t>万㎡，主要涉及安居工程、公共服务设施等，共计432栋。</w:t>
            </w:r>
          </w:p>
          <w:p>
            <w:pPr>
              <w:widowControl/>
              <w:snapToGrid w:val="0"/>
              <w:spacing w:line="260" w:lineRule="exact"/>
              <w:jc w:val="center"/>
              <w:rPr>
                <w:rFonts w:ascii="宋体" w:hAnsi="宋体" w:cs="宋体"/>
                <w:color w:val="000000" w:themeColor="text1"/>
                <w:kern w:val="0"/>
                <w:sz w:val="15"/>
                <w:szCs w:val="15"/>
                <w:highlight w:val="none"/>
              </w:rPr>
            </w:pPr>
          </w:p>
        </w:tc>
        <w:tc>
          <w:tcPr>
            <w:tcW w:w="783" w:type="dxa"/>
            <w:vAlign w:val="center"/>
          </w:tcPr>
          <w:p>
            <w:pPr>
              <w:widowControl/>
              <w:snapToGrid w:val="0"/>
              <w:spacing w:line="300" w:lineRule="exact"/>
              <w:jc w:val="center"/>
              <w:rPr>
                <w:rFonts w:ascii="宋体" w:hAnsi="宋体" w:cs="宋体"/>
                <w:color w:val="000000" w:themeColor="text1"/>
                <w:kern w:val="0"/>
                <w:sz w:val="15"/>
                <w:szCs w:val="15"/>
                <w:highlight w:val="none"/>
              </w:rPr>
            </w:pPr>
          </w:p>
        </w:tc>
        <w:tc>
          <w:tcPr>
            <w:tcW w:w="567" w:type="dxa"/>
            <w:vAlign w:val="center"/>
          </w:tcPr>
          <w:p>
            <w:pPr>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新建</w:t>
            </w:r>
          </w:p>
          <w:p>
            <w:pPr>
              <w:spacing w:line="300" w:lineRule="exact"/>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、改建</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2019</w:t>
            </w:r>
          </w:p>
        </w:tc>
        <w:tc>
          <w:tcPr>
            <w:tcW w:w="567"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2025</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86</w:t>
            </w:r>
          </w:p>
        </w:tc>
        <w:tc>
          <w:tcPr>
            <w:tcW w:w="708"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86</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197000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142000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100000</w:t>
            </w:r>
          </w:p>
        </w:tc>
        <w:tc>
          <w:tcPr>
            <w:tcW w:w="709" w:type="dxa"/>
            <w:vAlign w:val="center"/>
          </w:tcPr>
          <w:p>
            <w:pPr>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50000</w:t>
            </w:r>
          </w:p>
        </w:tc>
        <w:tc>
          <w:tcPr>
            <w:tcW w:w="708"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50000</w:t>
            </w:r>
          </w:p>
        </w:tc>
        <w:tc>
          <w:tcPr>
            <w:tcW w:w="709" w:type="dxa"/>
            <w:vAlign w:val="center"/>
          </w:tcPr>
          <w:p>
            <w:pPr>
              <w:widowControl/>
              <w:snapToGrid w:val="0"/>
              <w:spacing w:line="300" w:lineRule="exact"/>
              <w:jc w:val="center"/>
              <w:rPr>
                <w:rFonts w:ascii="宋体" w:hAnsi="宋体" w:cs="宋体"/>
                <w:color w:val="000000" w:themeColor="text1"/>
                <w:spacing w:val="-6"/>
                <w:w w:val="98"/>
                <w:kern w:val="0"/>
                <w:sz w:val="15"/>
                <w:szCs w:val="15"/>
                <w:highlight w:val="none"/>
              </w:rPr>
            </w:pPr>
            <w:r>
              <w:rPr>
                <w:rFonts w:hint="eastAsia" w:ascii="宋体" w:hAnsi="宋体" w:cs="宋体"/>
                <w:color w:val="000000" w:themeColor="text1"/>
                <w:spacing w:val="-6"/>
                <w:w w:val="98"/>
                <w:kern w:val="0"/>
                <w:sz w:val="15"/>
                <w:szCs w:val="15"/>
                <w:highlight w:val="none"/>
              </w:rPr>
              <w:t>510000</w:t>
            </w:r>
          </w:p>
        </w:tc>
        <w:tc>
          <w:tcPr>
            <w:tcW w:w="1134" w:type="dxa"/>
            <w:vMerge w:val="continue"/>
            <w:vAlign w:val="center"/>
          </w:tcPr>
          <w:p>
            <w:pPr>
              <w:spacing w:line="300" w:lineRule="exact"/>
              <w:jc w:val="center"/>
              <w:rPr>
                <w:color w:val="000000" w:themeColor="text1"/>
                <w:sz w:val="15"/>
                <w:szCs w:val="18"/>
                <w:highlight w:val="none"/>
              </w:rPr>
            </w:pPr>
          </w:p>
        </w:tc>
        <w:tc>
          <w:tcPr>
            <w:tcW w:w="884" w:type="dxa"/>
            <w:noWrap/>
            <w:vAlign w:val="center"/>
          </w:tcPr>
          <w:p>
            <w:pPr>
              <w:widowControl/>
              <w:snapToGrid w:val="0"/>
              <w:spacing w:line="300" w:lineRule="exact"/>
              <w:jc w:val="center"/>
              <w:rPr>
                <w:rFonts w:ascii="宋体" w:hAnsi="宋体" w:cs="宋体"/>
                <w:color w:val="000000" w:themeColor="text1"/>
                <w:kern w:val="0"/>
                <w:sz w:val="15"/>
                <w:szCs w:val="15"/>
                <w:highlight w:val="none"/>
              </w:rPr>
            </w:pPr>
            <w:r>
              <w:rPr>
                <w:rFonts w:hint="eastAsia" w:ascii="宋体" w:hAnsi="宋体" w:cs="宋体"/>
                <w:color w:val="000000" w:themeColor="text1"/>
                <w:kern w:val="0"/>
                <w:sz w:val="15"/>
                <w:szCs w:val="15"/>
                <w:highlight w:val="none"/>
              </w:rPr>
              <w:t>城投集团</w:t>
            </w:r>
          </w:p>
        </w:tc>
      </w:tr>
    </w:tbl>
    <w:p>
      <w:pPr>
        <w:spacing w:line="240" w:lineRule="exact"/>
        <w:jc w:val="left"/>
        <w:rPr>
          <w:rFonts w:ascii="方正黑体_GBK" w:eastAsia="方正黑体_GBK"/>
          <w:bCs/>
          <w:color w:val="000000" w:themeColor="text1"/>
          <w:kern w:val="0"/>
          <w:sz w:val="15"/>
          <w:szCs w:val="15"/>
        </w:rPr>
      </w:pPr>
    </w:p>
    <w:sectPr>
      <w:pgSz w:w="16839" w:h="11907" w:orient="landscape"/>
      <w:pgMar w:top="1701" w:right="1701" w:bottom="1701"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53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重庆市南川区城市基础设施“十四五”规划（2021—2025年）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zMTJkZGM2YzA1MGVmZGY3MGZiZWM1NDdiNmNjN2IifQ=="/>
  </w:docVars>
  <w:rsids>
    <w:rsidRoot w:val="00076BDB"/>
    <w:rsid w:val="0000055F"/>
    <w:rsid w:val="0000100C"/>
    <w:rsid w:val="00001D3B"/>
    <w:rsid w:val="00003060"/>
    <w:rsid w:val="000040C7"/>
    <w:rsid w:val="000043EC"/>
    <w:rsid w:val="00006C78"/>
    <w:rsid w:val="00006F88"/>
    <w:rsid w:val="000072E9"/>
    <w:rsid w:val="00011FD1"/>
    <w:rsid w:val="0001292C"/>
    <w:rsid w:val="00013B40"/>
    <w:rsid w:val="00014AB7"/>
    <w:rsid w:val="000151FB"/>
    <w:rsid w:val="000161CA"/>
    <w:rsid w:val="000174BA"/>
    <w:rsid w:val="00017A51"/>
    <w:rsid w:val="00020C10"/>
    <w:rsid w:val="000216A8"/>
    <w:rsid w:val="00024A04"/>
    <w:rsid w:val="000253EE"/>
    <w:rsid w:val="0002772F"/>
    <w:rsid w:val="000321DD"/>
    <w:rsid w:val="00033920"/>
    <w:rsid w:val="00036006"/>
    <w:rsid w:val="000369CA"/>
    <w:rsid w:val="0003713E"/>
    <w:rsid w:val="00037F4F"/>
    <w:rsid w:val="000404FD"/>
    <w:rsid w:val="00045211"/>
    <w:rsid w:val="00045DB8"/>
    <w:rsid w:val="00046F12"/>
    <w:rsid w:val="00050DBF"/>
    <w:rsid w:val="00051107"/>
    <w:rsid w:val="00051213"/>
    <w:rsid w:val="000529A0"/>
    <w:rsid w:val="00053093"/>
    <w:rsid w:val="00053680"/>
    <w:rsid w:val="00057F6F"/>
    <w:rsid w:val="000607FF"/>
    <w:rsid w:val="00060A20"/>
    <w:rsid w:val="0006460B"/>
    <w:rsid w:val="00064809"/>
    <w:rsid w:val="00066B0C"/>
    <w:rsid w:val="000700CA"/>
    <w:rsid w:val="00070790"/>
    <w:rsid w:val="00070FA5"/>
    <w:rsid w:val="000713EA"/>
    <w:rsid w:val="00071654"/>
    <w:rsid w:val="00074E95"/>
    <w:rsid w:val="00076BDB"/>
    <w:rsid w:val="000778FF"/>
    <w:rsid w:val="000830D4"/>
    <w:rsid w:val="00083C01"/>
    <w:rsid w:val="0008598B"/>
    <w:rsid w:val="0009309A"/>
    <w:rsid w:val="0009350C"/>
    <w:rsid w:val="00095841"/>
    <w:rsid w:val="00096344"/>
    <w:rsid w:val="00096E11"/>
    <w:rsid w:val="000A3B24"/>
    <w:rsid w:val="000A4559"/>
    <w:rsid w:val="000A57FA"/>
    <w:rsid w:val="000A5E9E"/>
    <w:rsid w:val="000A7DEF"/>
    <w:rsid w:val="000A7F28"/>
    <w:rsid w:val="000B069D"/>
    <w:rsid w:val="000B1B9C"/>
    <w:rsid w:val="000B26D7"/>
    <w:rsid w:val="000B2CCA"/>
    <w:rsid w:val="000B2DD2"/>
    <w:rsid w:val="000B4042"/>
    <w:rsid w:val="000B423E"/>
    <w:rsid w:val="000B4264"/>
    <w:rsid w:val="000B433E"/>
    <w:rsid w:val="000B4637"/>
    <w:rsid w:val="000B4995"/>
    <w:rsid w:val="000B4DA8"/>
    <w:rsid w:val="000C0CDD"/>
    <w:rsid w:val="000C1EA7"/>
    <w:rsid w:val="000C3133"/>
    <w:rsid w:val="000C34EC"/>
    <w:rsid w:val="000C4C27"/>
    <w:rsid w:val="000C53FD"/>
    <w:rsid w:val="000C6B3A"/>
    <w:rsid w:val="000C7454"/>
    <w:rsid w:val="000D163F"/>
    <w:rsid w:val="000D3C82"/>
    <w:rsid w:val="000D690B"/>
    <w:rsid w:val="000D6F41"/>
    <w:rsid w:val="000E0B56"/>
    <w:rsid w:val="000E5647"/>
    <w:rsid w:val="000E66B3"/>
    <w:rsid w:val="000E6E1A"/>
    <w:rsid w:val="000F11FA"/>
    <w:rsid w:val="000F13AC"/>
    <w:rsid w:val="000F5D0E"/>
    <w:rsid w:val="000F7A89"/>
    <w:rsid w:val="00101C22"/>
    <w:rsid w:val="00102416"/>
    <w:rsid w:val="001047A1"/>
    <w:rsid w:val="0010682E"/>
    <w:rsid w:val="0011177C"/>
    <w:rsid w:val="001118C9"/>
    <w:rsid w:val="0011241F"/>
    <w:rsid w:val="00120A9C"/>
    <w:rsid w:val="00120E0D"/>
    <w:rsid w:val="0012332D"/>
    <w:rsid w:val="001277C3"/>
    <w:rsid w:val="00131442"/>
    <w:rsid w:val="00131B4C"/>
    <w:rsid w:val="00132054"/>
    <w:rsid w:val="001320BE"/>
    <w:rsid w:val="00133084"/>
    <w:rsid w:val="00137315"/>
    <w:rsid w:val="00137795"/>
    <w:rsid w:val="00142D72"/>
    <w:rsid w:val="001438BA"/>
    <w:rsid w:val="00144106"/>
    <w:rsid w:val="001462A1"/>
    <w:rsid w:val="00146BA6"/>
    <w:rsid w:val="001473D5"/>
    <w:rsid w:val="00147582"/>
    <w:rsid w:val="00147EEF"/>
    <w:rsid w:val="00150332"/>
    <w:rsid w:val="00150E4B"/>
    <w:rsid w:val="0015103F"/>
    <w:rsid w:val="0015361B"/>
    <w:rsid w:val="00155907"/>
    <w:rsid w:val="00156300"/>
    <w:rsid w:val="001579AE"/>
    <w:rsid w:val="00161D67"/>
    <w:rsid w:val="00163AA4"/>
    <w:rsid w:val="00170658"/>
    <w:rsid w:val="00170F4D"/>
    <w:rsid w:val="0017194E"/>
    <w:rsid w:val="0017440D"/>
    <w:rsid w:val="00174888"/>
    <w:rsid w:val="001762D3"/>
    <w:rsid w:val="00182ACF"/>
    <w:rsid w:val="00185561"/>
    <w:rsid w:val="0019111C"/>
    <w:rsid w:val="0019127A"/>
    <w:rsid w:val="0019179E"/>
    <w:rsid w:val="00191EF2"/>
    <w:rsid w:val="001941FD"/>
    <w:rsid w:val="00194BA1"/>
    <w:rsid w:val="001977D6"/>
    <w:rsid w:val="001A3A35"/>
    <w:rsid w:val="001A4963"/>
    <w:rsid w:val="001A7685"/>
    <w:rsid w:val="001B05C6"/>
    <w:rsid w:val="001B19EA"/>
    <w:rsid w:val="001B285A"/>
    <w:rsid w:val="001B5153"/>
    <w:rsid w:val="001B6D54"/>
    <w:rsid w:val="001B7EBB"/>
    <w:rsid w:val="001C1D70"/>
    <w:rsid w:val="001C290B"/>
    <w:rsid w:val="001C40A4"/>
    <w:rsid w:val="001C470F"/>
    <w:rsid w:val="001C47B3"/>
    <w:rsid w:val="001C73A0"/>
    <w:rsid w:val="001C7BF4"/>
    <w:rsid w:val="001D039E"/>
    <w:rsid w:val="001D05DF"/>
    <w:rsid w:val="001D07B1"/>
    <w:rsid w:val="001D10E3"/>
    <w:rsid w:val="001D16F8"/>
    <w:rsid w:val="001D1CF8"/>
    <w:rsid w:val="001D27EA"/>
    <w:rsid w:val="001D2EF4"/>
    <w:rsid w:val="001D3232"/>
    <w:rsid w:val="001D3C2D"/>
    <w:rsid w:val="001D426F"/>
    <w:rsid w:val="001D62CD"/>
    <w:rsid w:val="001D64BC"/>
    <w:rsid w:val="001D683C"/>
    <w:rsid w:val="001D7FFC"/>
    <w:rsid w:val="001E132A"/>
    <w:rsid w:val="001E3FC0"/>
    <w:rsid w:val="001E74D9"/>
    <w:rsid w:val="001F2AAB"/>
    <w:rsid w:val="001F2EEA"/>
    <w:rsid w:val="001F6F97"/>
    <w:rsid w:val="002012D5"/>
    <w:rsid w:val="00201B28"/>
    <w:rsid w:val="00204F82"/>
    <w:rsid w:val="0020590D"/>
    <w:rsid w:val="00205E2D"/>
    <w:rsid w:val="002068DF"/>
    <w:rsid w:val="002105AA"/>
    <w:rsid w:val="002106DF"/>
    <w:rsid w:val="00211198"/>
    <w:rsid w:val="00212952"/>
    <w:rsid w:val="00213551"/>
    <w:rsid w:val="00215CDC"/>
    <w:rsid w:val="002162AB"/>
    <w:rsid w:val="00216633"/>
    <w:rsid w:val="002218D1"/>
    <w:rsid w:val="00221E85"/>
    <w:rsid w:val="00224F03"/>
    <w:rsid w:val="00227E7E"/>
    <w:rsid w:val="002310EA"/>
    <w:rsid w:val="00231242"/>
    <w:rsid w:val="0023346C"/>
    <w:rsid w:val="0023357C"/>
    <w:rsid w:val="00234C11"/>
    <w:rsid w:val="00234E27"/>
    <w:rsid w:val="00235366"/>
    <w:rsid w:val="002372AA"/>
    <w:rsid w:val="00237332"/>
    <w:rsid w:val="00240396"/>
    <w:rsid w:val="002405D3"/>
    <w:rsid w:val="002409A2"/>
    <w:rsid w:val="00241743"/>
    <w:rsid w:val="00242AC3"/>
    <w:rsid w:val="0024687D"/>
    <w:rsid w:val="00250E32"/>
    <w:rsid w:val="0025146B"/>
    <w:rsid w:val="0025153D"/>
    <w:rsid w:val="00251A04"/>
    <w:rsid w:val="00252D3E"/>
    <w:rsid w:val="00253B58"/>
    <w:rsid w:val="00254284"/>
    <w:rsid w:val="00254DE0"/>
    <w:rsid w:val="0025569A"/>
    <w:rsid w:val="00256979"/>
    <w:rsid w:val="00257971"/>
    <w:rsid w:val="00257A51"/>
    <w:rsid w:val="00260A2F"/>
    <w:rsid w:val="0026151C"/>
    <w:rsid w:val="002621CB"/>
    <w:rsid w:val="002642F9"/>
    <w:rsid w:val="002648B8"/>
    <w:rsid w:val="00265182"/>
    <w:rsid w:val="00266027"/>
    <w:rsid w:val="0026607C"/>
    <w:rsid w:val="00270BC2"/>
    <w:rsid w:val="00277130"/>
    <w:rsid w:val="002814BF"/>
    <w:rsid w:val="00281B2E"/>
    <w:rsid w:val="002820EF"/>
    <w:rsid w:val="002823EC"/>
    <w:rsid w:val="0028255F"/>
    <w:rsid w:val="0028512E"/>
    <w:rsid w:val="00286929"/>
    <w:rsid w:val="00286DA9"/>
    <w:rsid w:val="002874B6"/>
    <w:rsid w:val="002878E3"/>
    <w:rsid w:val="00287FFA"/>
    <w:rsid w:val="00290123"/>
    <w:rsid w:val="002907C5"/>
    <w:rsid w:val="002907CF"/>
    <w:rsid w:val="0029118D"/>
    <w:rsid w:val="00295EE3"/>
    <w:rsid w:val="00296582"/>
    <w:rsid w:val="002976AE"/>
    <w:rsid w:val="002A0081"/>
    <w:rsid w:val="002A05F0"/>
    <w:rsid w:val="002A0B8F"/>
    <w:rsid w:val="002A0F98"/>
    <w:rsid w:val="002A1702"/>
    <w:rsid w:val="002A3CD9"/>
    <w:rsid w:val="002A4171"/>
    <w:rsid w:val="002B323C"/>
    <w:rsid w:val="002B6357"/>
    <w:rsid w:val="002B7252"/>
    <w:rsid w:val="002C0075"/>
    <w:rsid w:val="002C21DB"/>
    <w:rsid w:val="002C283E"/>
    <w:rsid w:val="002C591F"/>
    <w:rsid w:val="002D098F"/>
    <w:rsid w:val="002D293F"/>
    <w:rsid w:val="002D2E16"/>
    <w:rsid w:val="002D5ABD"/>
    <w:rsid w:val="002D7241"/>
    <w:rsid w:val="002D7521"/>
    <w:rsid w:val="002D7B3C"/>
    <w:rsid w:val="002E1591"/>
    <w:rsid w:val="002E160E"/>
    <w:rsid w:val="002E1D8A"/>
    <w:rsid w:val="002E4FCD"/>
    <w:rsid w:val="002E5B4C"/>
    <w:rsid w:val="002E6A45"/>
    <w:rsid w:val="002E7235"/>
    <w:rsid w:val="002F10CA"/>
    <w:rsid w:val="002F187E"/>
    <w:rsid w:val="002F2838"/>
    <w:rsid w:val="002F4D15"/>
    <w:rsid w:val="002F6B5C"/>
    <w:rsid w:val="002F7516"/>
    <w:rsid w:val="003035C4"/>
    <w:rsid w:val="00303601"/>
    <w:rsid w:val="00304ED9"/>
    <w:rsid w:val="003059CD"/>
    <w:rsid w:val="00305D09"/>
    <w:rsid w:val="003067D9"/>
    <w:rsid w:val="00306FF9"/>
    <w:rsid w:val="00312812"/>
    <w:rsid w:val="00312D4D"/>
    <w:rsid w:val="003151DF"/>
    <w:rsid w:val="00315705"/>
    <w:rsid w:val="003174E9"/>
    <w:rsid w:val="003202AE"/>
    <w:rsid w:val="003203D1"/>
    <w:rsid w:val="00320B3D"/>
    <w:rsid w:val="00320F4B"/>
    <w:rsid w:val="00322552"/>
    <w:rsid w:val="00322FF7"/>
    <w:rsid w:val="00323977"/>
    <w:rsid w:val="003401A9"/>
    <w:rsid w:val="0034087E"/>
    <w:rsid w:val="00340F62"/>
    <w:rsid w:val="00341CEC"/>
    <w:rsid w:val="00343B4F"/>
    <w:rsid w:val="00344C5E"/>
    <w:rsid w:val="00345F6B"/>
    <w:rsid w:val="00347B2D"/>
    <w:rsid w:val="00350050"/>
    <w:rsid w:val="003516B0"/>
    <w:rsid w:val="0035274E"/>
    <w:rsid w:val="003534E7"/>
    <w:rsid w:val="00357369"/>
    <w:rsid w:val="003574A7"/>
    <w:rsid w:val="0036066E"/>
    <w:rsid w:val="003633A3"/>
    <w:rsid w:val="0036562C"/>
    <w:rsid w:val="00366594"/>
    <w:rsid w:val="00366AB1"/>
    <w:rsid w:val="00370576"/>
    <w:rsid w:val="0037159B"/>
    <w:rsid w:val="003715DB"/>
    <w:rsid w:val="00372328"/>
    <w:rsid w:val="003745E9"/>
    <w:rsid w:val="00374FB4"/>
    <w:rsid w:val="003753DB"/>
    <w:rsid w:val="0037582D"/>
    <w:rsid w:val="00377405"/>
    <w:rsid w:val="0038033F"/>
    <w:rsid w:val="003806BC"/>
    <w:rsid w:val="00381058"/>
    <w:rsid w:val="003827B3"/>
    <w:rsid w:val="00383801"/>
    <w:rsid w:val="00383C50"/>
    <w:rsid w:val="0038538E"/>
    <w:rsid w:val="00392488"/>
    <w:rsid w:val="00394BDE"/>
    <w:rsid w:val="00394FC5"/>
    <w:rsid w:val="00397340"/>
    <w:rsid w:val="003A05FD"/>
    <w:rsid w:val="003A5546"/>
    <w:rsid w:val="003A5658"/>
    <w:rsid w:val="003A6BD5"/>
    <w:rsid w:val="003B01F4"/>
    <w:rsid w:val="003B16EA"/>
    <w:rsid w:val="003B2752"/>
    <w:rsid w:val="003B2F26"/>
    <w:rsid w:val="003B3075"/>
    <w:rsid w:val="003B350D"/>
    <w:rsid w:val="003B3D41"/>
    <w:rsid w:val="003B4CB7"/>
    <w:rsid w:val="003B6639"/>
    <w:rsid w:val="003B7505"/>
    <w:rsid w:val="003C0DCB"/>
    <w:rsid w:val="003C0FDA"/>
    <w:rsid w:val="003C2415"/>
    <w:rsid w:val="003C4C63"/>
    <w:rsid w:val="003C5047"/>
    <w:rsid w:val="003D03B5"/>
    <w:rsid w:val="003D23C7"/>
    <w:rsid w:val="003D33B0"/>
    <w:rsid w:val="003D5BBA"/>
    <w:rsid w:val="003E41DE"/>
    <w:rsid w:val="003E5EBF"/>
    <w:rsid w:val="003E65B3"/>
    <w:rsid w:val="003E6AC7"/>
    <w:rsid w:val="003E748F"/>
    <w:rsid w:val="003E7BC0"/>
    <w:rsid w:val="003F1DC1"/>
    <w:rsid w:val="003F1F04"/>
    <w:rsid w:val="003F2664"/>
    <w:rsid w:val="003F42DF"/>
    <w:rsid w:val="003F64FC"/>
    <w:rsid w:val="00401719"/>
    <w:rsid w:val="0040218F"/>
    <w:rsid w:val="00402CA6"/>
    <w:rsid w:val="0040391C"/>
    <w:rsid w:val="00405527"/>
    <w:rsid w:val="0040577A"/>
    <w:rsid w:val="00405EBF"/>
    <w:rsid w:val="00406660"/>
    <w:rsid w:val="00410381"/>
    <w:rsid w:val="00410CD7"/>
    <w:rsid w:val="004162D2"/>
    <w:rsid w:val="004163B9"/>
    <w:rsid w:val="00416C05"/>
    <w:rsid w:val="00420AF8"/>
    <w:rsid w:val="004219B6"/>
    <w:rsid w:val="0042415E"/>
    <w:rsid w:val="004242F5"/>
    <w:rsid w:val="00426012"/>
    <w:rsid w:val="00426B25"/>
    <w:rsid w:val="0042756C"/>
    <w:rsid w:val="004326F6"/>
    <w:rsid w:val="00432DD4"/>
    <w:rsid w:val="00432FD6"/>
    <w:rsid w:val="00435DCF"/>
    <w:rsid w:val="00436381"/>
    <w:rsid w:val="004364AB"/>
    <w:rsid w:val="00437961"/>
    <w:rsid w:val="00443E2F"/>
    <w:rsid w:val="00443F8D"/>
    <w:rsid w:val="00444D19"/>
    <w:rsid w:val="00444E23"/>
    <w:rsid w:val="00450799"/>
    <w:rsid w:val="00450DC1"/>
    <w:rsid w:val="004519B3"/>
    <w:rsid w:val="004543B8"/>
    <w:rsid w:val="00454E47"/>
    <w:rsid w:val="004574EC"/>
    <w:rsid w:val="0046004E"/>
    <w:rsid w:val="00460705"/>
    <w:rsid w:val="00460B9C"/>
    <w:rsid w:val="00460C94"/>
    <w:rsid w:val="00460E5B"/>
    <w:rsid w:val="00461CD6"/>
    <w:rsid w:val="0046244A"/>
    <w:rsid w:val="0046275F"/>
    <w:rsid w:val="004633BC"/>
    <w:rsid w:val="00466402"/>
    <w:rsid w:val="00466FC1"/>
    <w:rsid w:val="0047252D"/>
    <w:rsid w:val="00476537"/>
    <w:rsid w:val="004766FD"/>
    <w:rsid w:val="00481327"/>
    <w:rsid w:val="00481D31"/>
    <w:rsid w:val="00483A9D"/>
    <w:rsid w:val="004841B1"/>
    <w:rsid w:val="00484F8A"/>
    <w:rsid w:val="00485527"/>
    <w:rsid w:val="00485B03"/>
    <w:rsid w:val="00486567"/>
    <w:rsid w:val="00493056"/>
    <w:rsid w:val="00494ABF"/>
    <w:rsid w:val="00494C2F"/>
    <w:rsid w:val="0049500B"/>
    <w:rsid w:val="004A19D3"/>
    <w:rsid w:val="004A2997"/>
    <w:rsid w:val="004A2CDE"/>
    <w:rsid w:val="004A3657"/>
    <w:rsid w:val="004A7608"/>
    <w:rsid w:val="004B060D"/>
    <w:rsid w:val="004B1EAE"/>
    <w:rsid w:val="004B6346"/>
    <w:rsid w:val="004B6B87"/>
    <w:rsid w:val="004C13CB"/>
    <w:rsid w:val="004C1AAD"/>
    <w:rsid w:val="004C437D"/>
    <w:rsid w:val="004C6DED"/>
    <w:rsid w:val="004D345A"/>
    <w:rsid w:val="004D6DEE"/>
    <w:rsid w:val="004E22CC"/>
    <w:rsid w:val="004E2414"/>
    <w:rsid w:val="004E2E4C"/>
    <w:rsid w:val="004E690C"/>
    <w:rsid w:val="004E7297"/>
    <w:rsid w:val="004F2983"/>
    <w:rsid w:val="004F4705"/>
    <w:rsid w:val="004F5979"/>
    <w:rsid w:val="004F6A8A"/>
    <w:rsid w:val="004F7415"/>
    <w:rsid w:val="00504F95"/>
    <w:rsid w:val="005104BF"/>
    <w:rsid w:val="005112CD"/>
    <w:rsid w:val="005123F3"/>
    <w:rsid w:val="00514525"/>
    <w:rsid w:val="00514551"/>
    <w:rsid w:val="0051490D"/>
    <w:rsid w:val="0051503E"/>
    <w:rsid w:val="00515961"/>
    <w:rsid w:val="00517055"/>
    <w:rsid w:val="0052003E"/>
    <w:rsid w:val="00520BE9"/>
    <w:rsid w:val="00520CF1"/>
    <w:rsid w:val="00521CEA"/>
    <w:rsid w:val="00522027"/>
    <w:rsid w:val="00524C07"/>
    <w:rsid w:val="00524D3D"/>
    <w:rsid w:val="00526E30"/>
    <w:rsid w:val="00527987"/>
    <w:rsid w:val="00527A76"/>
    <w:rsid w:val="00532E24"/>
    <w:rsid w:val="0053759C"/>
    <w:rsid w:val="005411B0"/>
    <w:rsid w:val="00541699"/>
    <w:rsid w:val="00542FCD"/>
    <w:rsid w:val="00543F1B"/>
    <w:rsid w:val="0054527D"/>
    <w:rsid w:val="005461C9"/>
    <w:rsid w:val="00546790"/>
    <w:rsid w:val="00550996"/>
    <w:rsid w:val="00550BDA"/>
    <w:rsid w:val="00550F8E"/>
    <w:rsid w:val="00552601"/>
    <w:rsid w:val="00554BFB"/>
    <w:rsid w:val="005557EA"/>
    <w:rsid w:val="005565D2"/>
    <w:rsid w:val="00563EBB"/>
    <w:rsid w:val="0056495D"/>
    <w:rsid w:val="0056527A"/>
    <w:rsid w:val="0056798D"/>
    <w:rsid w:val="00570020"/>
    <w:rsid w:val="00570286"/>
    <w:rsid w:val="00572525"/>
    <w:rsid w:val="00573538"/>
    <w:rsid w:val="00573A11"/>
    <w:rsid w:val="00575398"/>
    <w:rsid w:val="0058009D"/>
    <w:rsid w:val="00581D54"/>
    <w:rsid w:val="005827B3"/>
    <w:rsid w:val="005830E4"/>
    <w:rsid w:val="005832E9"/>
    <w:rsid w:val="00584B4A"/>
    <w:rsid w:val="00586219"/>
    <w:rsid w:val="00587256"/>
    <w:rsid w:val="00590861"/>
    <w:rsid w:val="0059138D"/>
    <w:rsid w:val="00592098"/>
    <w:rsid w:val="00594556"/>
    <w:rsid w:val="00595643"/>
    <w:rsid w:val="00597D06"/>
    <w:rsid w:val="005A10AC"/>
    <w:rsid w:val="005A27BC"/>
    <w:rsid w:val="005A2D52"/>
    <w:rsid w:val="005A7B82"/>
    <w:rsid w:val="005B110A"/>
    <w:rsid w:val="005B1F44"/>
    <w:rsid w:val="005B26D7"/>
    <w:rsid w:val="005B34AF"/>
    <w:rsid w:val="005B4372"/>
    <w:rsid w:val="005B45B2"/>
    <w:rsid w:val="005B71C1"/>
    <w:rsid w:val="005C1A21"/>
    <w:rsid w:val="005C3368"/>
    <w:rsid w:val="005C431F"/>
    <w:rsid w:val="005C4B65"/>
    <w:rsid w:val="005C4F24"/>
    <w:rsid w:val="005D07B4"/>
    <w:rsid w:val="005D3C5E"/>
    <w:rsid w:val="005E2EF5"/>
    <w:rsid w:val="005E4537"/>
    <w:rsid w:val="005E4D9C"/>
    <w:rsid w:val="005E5DB2"/>
    <w:rsid w:val="005E6946"/>
    <w:rsid w:val="005F0FAF"/>
    <w:rsid w:val="005F11E5"/>
    <w:rsid w:val="005F3D4D"/>
    <w:rsid w:val="00601514"/>
    <w:rsid w:val="006023E0"/>
    <w:rsid w:val="00602E90"/>
    <w:rsid w:val="00603969"/>
    <w:rsid w:val="00605696"/>
    <w:rsid w:val="00606069"/>
    <w:rsid w:val="00606634"/>
    <w:rsid w:val="00607AFF"/>
    <w:rsid w:val="00607E79"/>
    <w:rsid w:val="006117AD"/>
    <w:rsid w:val="00611E79"/>
    <w:rsid w:val="00612572"/>
    <w:rsid w:val="00617C7D"/>
    <w:rsid w:val="00620D17"/>
    <w:rsid w:val="006214B9"/>
    <w:rsid w:val="0062683B"/>
    <w:rsid w:val="00627DF3"/>
    <w:rsid w:val="00630273"/>
    <w:rsid w:val="00631E43"/>
    <w:rsid w:val="0063204C"/>
    <w:rsid w:val="006326D1"/>
    <w:rsid w:val="006350DF"/>
    <w:rsid w:val="0063539A"/>
    <w:rsid w:val="0063648E"/>
    <w:rsid w:val="00640169"/>
    <w:rsid w:val="00640D5D"/>
    <w:rsid w:val="00640F56"/>
    <w:rsid w:val="006419C9"/>
    <w:rsid w:val="00644D47"/>
    <w:rsid w:val="0064505F"/>
    <w:rsid w:val="00645343"/>
    <w:rsid w:val="0065081A"/>
    <w:rsid w:val="00652F94"/>
    <w:rsid w:val="006534B5"/>
    <w:rsid w:val="00654582"/>
    <w:rsid w:val="00654ED8"/>
    <w:rsid w:val="0065520C"/>
    <w:rsid w:val="00655F50"/>
    <w:rsid w:val="0065605B"/>
    <w:rsid w:val="0065637F"/>
    <w:rsid w:val="0065742B"/>
    <w:rsid w:val="00657905"/>
    <w:rsid w:val="00660682"/>
    <w:rsid w:val="006609FE"/>
    <w:rsid w:val="006627BB"/>
    <w:rsid w:val="006628ED"/>
    <w:rsid w:val="006634FA"/>
    <w:rsid w:val="006638DA"/>
    <w:rsid w:val="00665F86"/>
    <w:rsid w:val="006668CA"/>
    <w:rsid w:val="00666968"/>
    <w:rsid w:val="006672C4"/>
    <w:rsid w:val="00667350"/>
    <w:rsid w:val="0067105E"/>
    <w:rsid w:val="0067117E"/>
    <w:rsid w:val="006713CD"/>
    <w:rsid w:val="006714B1"/>
    <w:rsid w:val="006733A6"/>
    <w:rsid w:val="006745B2"/>
    <w:rsid w:val="00674D8A"/>
    <w:rsid w:val="006754B2"/>
    <w:rsid w:val="00676D75"/>
    <w:rsid w:val="00676F4D"/>
    <w:rsid w:val="006825ED"/>
    <w:rsid w:val="00686333"/>
    <w:rsid w:val="006900DC"/>
    <w:rsid w:val="00690D53"/>
    <w:rsid w:val="006924C5"/>
    <w:rsid w:val="006933D3"/>
    <w:rsid w:val="00693546"/>
    <w:rsid w:val="006942BC"/>
    <w:rsid w:val="006957F7"/>
    <w:rsid w:val="00695D4F"/>
    <w:rsid w:val="006960A3"/>
    <w:rsid w:val="00696A12"/>
    <w:rsid w:val="00696EDD"/>
    <w:rsid w:val="00696F5E"/>
    <w:rsid w:val="006A1F7B"/>
    <w:rsid w:val="006A2D86"/>
    <w:rsid w:val="006A34BB"/>
    <w:rsid w:val="006A3EF7"/>
    <w:rsid w:val="006A578B"/>
    <w:rsid w:val="006A63A4"/>
    <w:rsid w:val="006B0F9B"/>
    <w:rsid w:val="006B1D4F"/>
    <w:rsid w:val="006B3287"/>
    <w:rsid w:val="006B376C"/>
    <w:rsid w:val="006B54D3"/>
    <w:rsid w:val="006B63CA"/>
    <w:rsid w:val="006C07D3"/>
    <w:rsid w:val="006C3F8A"/>
    <w:rsid w:val="006C43C2"/>
    <w:rsid w:val="006C48C8"/>
    <w:rsid w:val="006C49C9"/>
    <w:rsid w:val="006C49D9"/>
    <w:rsid w:val="006C4D4A"/>
    <w:rsid w:val="006C68E2"/>
    <w:rsid w:val="006C6B33"/>
    <w:rsid w:val="006D18B2"/>
    <w:rsid w:val="006D2300"/>
    <w:rsid w:val="006D2735"/>
    <w:rsid w:val="006D470E"/>
    <w:rsid w:val="006D522F"/>
    <w:rsid w:val="006D5C89"/>
    <w:rsid w:val="006D761B"/>
    <w:rsid w:val="006D79C6"/>
    <w:rsid w:val="006E5194"/>
    <w:rsid w:val="006E547B"/>
    <w:rsid w:val="006E7C2D"/>
    <w:rsid w:val="006F0D6E"/>
    <w:rsid w:val="006F3128"/>
    <w:rsid w:val="006F3A54"/>
    <w:rsid w:val="006F3DA1"/>
    <w:rsid w:val="006F676A"/>
    <w:rsid w:val="006F725A"/>
    <w:rsid w:val="007008AA"/>
    <w:rsid w:val="0070096F"/>
    <w:rsid w:val="00701E3C"/>
    <w:rsid w:val="0070247A"/>
    <w:rsid w:val="007029CB"/>
    <w:rsid w:val="00711468"/>
    <w:rsid w:val="00711B04"/>
    <w:rsid w:val="0071229C"/>
    <w:rsid w:val="007130D7"/>
    <w:rsid w:val="0071349B"/>
    <w:rsid w:val="00714DBE"/>
    <w:rsid w:val="007162F5"/>
    <w:rsid w:val="00723660"/>
    <w:rsid w:val="00726678"/>
    <w:rsid w:val="00726C82"/>
    <w:rsid w:val="00726EA0"/>
    <w:rsid w:val="00727A1C"/>
    <w:rsid w:val="00730AA8"/>
    <w:rsid w:val="00730B7E"/>
    <w:rsid w:val="0073236B"/>
    <w:rsid w:val="00734934"/>
    <w:rsid w:val="007379A4"/>
    <w:rsid w:val="00737FF1"/>
    <w:rsid w:val="007407D8"/>
    <w:rsid w:val="00743C77"/>
    <w:rsid w:val="00744E25"/>
    <w:rsid w:val="00745F0D"/>
    <w:rsid w:val="007474FF"/>
    <w:rsid w:val="00750B8B"/>
    <w:rsid w:val="00751051"/>
    <w:rsid w:val="00754EA0"/>
    <w:rsid w:val="007554BC"/>
    <w:rsid w:val="00766279"/>
    <w:rsid w:val="007709E0"/>
    <w:rsid w:val="00771E03"/>
    <w:rsid w:val="00772489"/>
    <w:rsid w:val="00774204"/>
    <w:rsid w:val="00774A08"/>
    <w:rsid w:val="007757E3"/>
    <w:rsid w:val="00775C78"/>
    <w:rsid w:val="00776A52"/>
    <w:rsid w:val="00781AD4"/>
    <w:rsid w:val="00783EFC"/>
    <w:rsid w:val="00784E88"/>
    <w:rsid w:val="007852FF"/>
    <w:rsid w:val="00786EC9"/>
    <w:rsid w:val="00792999"/>
    <w:rsid w:val="0079465C"/>
    <w:rsid w:val="00796010"/>
    <w:rsid w:val="007A0834"/>
    <w:rsid w:val="007A2BC8"/>
    <w:rsid w:val="007A3E40"/>
    <w:rsid w:val="007B1143"/>
    <w:rsid w:val="007B1996"/>
    <w:rsid w:val="007B1A4B"/>
    <w:rsid w:val="007B21F4"/>
    <w:rsid w:val="007B2513"/>
    <w:rsid w:val="007B368D"/>
    <w:rsid w:val="007B47DC"/>
    <w:rsid w:val="007B4F0B"/>
    <w:rsid w:val="007B60D3"/>
    <w:rsid w:val="007B65EA"/>
    <w:rsid w:val="007B6C95"/>
    <w:rsid w:val="007B7011"/>
    <w:rsid w:val="007B7816"/>
    <w:rsid w:val="007C0BD9"/>
    <w:rsid w:val="007C1914"/>
    <w:rsid w:val="007C2CD1"/>
    <w:rsid w:val="007C47FD"/>
    <w:rsid w:val="007C6E6F"/>
    <w:rsid w:val="007D2224"/>
    <w:rsid w:val="007D4DF2"/>
    <w:rsid w:val="007D69C9"/>
    <w:rsid w:val="007E0FB7"/>
    <w:rsid w:val="007E1D44"/>
    <w:rsid w:val="007E413F"/>
    <w:rsid w:val="007E4548"/>
    <w:rsid w:val="007E5946"/>
    <w:rsid w:val="007F0F6D"/>
    <w:rsid w:val="007F101A"/>
    <w:rsid w:val="007F1CA0"/>
    <w:rsid w:val="007F41B8"/>
    <w:rsid w:val="007F5A84"/>
    <w:rsid w:val="007F5BAA"/>
    <w:rsid w:val="007F5CEA"/>
    <w:rsid w:val="007F7BB6"/>
    <w:rsid w:val="008002D7"/>
    <w:rsid w:val="0080574C"/>
    <w:rsid w:val="00811B8B"/>
    <w:rsid w:val="00811B92"/>
    <w:rsid w:val="00811E78"/>
    <w:rsid w:val="008124A4"/>
    <w:rsid w:val="0081273B"/>
    <w:rsid w:val="00812F98"/>
    <w:rsid w:val="00814A55"/>
    <w:rsid w:val="0081563F"/>
    <w:rsid w:val="008166CB"/>
    <w:rsid w:val="00821E5C"/>
    <w:rsid w:val="0082286F"/>
    <w:rsid w:val="00822E84"/>
    <w:rsid w:val="008236AA"/>
    <w:rsid w:val="008262E5"/>
    <w:rsid w:val="0082717F"/>
    <w:rsid w:val="00830454"/>
    <w:rsid w:val="00832FD9"/>
    <w:rsid w:val="008345DA"/>
    <w:rsid w:val="00836846"/>
    <w:rsid w:val="008414DA"/>
    <w:rsid w:val="00842C76"/>
    <w:rsid w:val="008431E5"/>
    <w:rsid w:val="008436D4"/>
    <w:rsid w:val="00844484"/>
    <w:rsid w:val="008471FF"/>
    <w:rsid w:val="00847462"/>
    <w:rsid w:val="0085109E"/>
    <w:rsid w:val="0085110A"/>
    <w:rsid w:val="00853752"/>
    <w:rsid w:val="008538B5"/>
    <w:rsid w:val="00856BE3"/>
    <w:rsid w:val="008571B1"/>
    <w:rsid w:val="0086108C"/>
    <w:rsid w:val="0086111B"/>
    <w:rsid w:val="008633B2"/>
    <w:rsid w:val="008643C6"/>
    <w:rsid w:val="00864A03"/>
    <w:rsid w:val="00864D01"/>
    <w:rsid w:val="00865355"/>
    <w:rsid w:val="00866249"/>
    <w:rsid w:val="00870C91"/>
    <w:rsid w:val="00871DDD"/>
    <w:rsid w:val="00876009"/>
    <w:rsid w:val="00877A48"/>
    <w:rsid w:val="00881399"/>
    <w:rsid w:val="00882694"/>
    <w:rsid w:val="00884D79"/>
    <w:rsid w:val="00884DC5"/>
    <w:rsid w:val="00885B79"/>
    <w:rsid w:val="00886305"/>
    <w:rsid w:val="00887CB3"/>
    <w:rsid w:val="00887F49"/>
    <w:rsid w:val="00890292"/>
    <w:rsid w:val="008959F7"/>
    <w:rsid w:val="00895C34"/>
    <w:rsid w:val="008A3B61"/>
    <w:rsid w:val="008B028F"/>
    <w:rsid w:val="008B366E"/>
    <w:rsid w:val="008B58BC"/>
    <w:rsid w:val="008B5A04"/>
    <w:rsid w:val="008B5A90"/>
    <w:rsid w:val="008B65AC"/>
    <w:rsid w:val="008B680A"/>
    <w:rsid w:val="008B79B7"/>
    <w:rsid w:val="008C0E7D"/>
    <w:rsid w:val="008C111B"/>
    <w:rsid w:val="008C1B34"/>
    <w:rsid w:val="008C1FCC"/>
    <w:rsid w:val="008C5122"/>
    <w:rsid w:val="008D4863"/>
    <w:rsid w:val="008D4B49"/>
    <w:rsid w:val="008D5900"/>
    <w:rsid w:val="008D5D17"/>
    <w:rsid w:val="008D7FAC"/>
    <w:rsid w:val="008E07F8"/>
    <w:rsid w:val="008E0CD6"/>
    <w:rsid w:val="008E2E61"/>
    <w:rsid w:val="008E36D6"/>
    <w:rsid w:val="008E4D25"/>
    <w:rsid w:val="008E6A40"/>
    <w:rsid w:val="008E7C6B"/>
    <w:rsid w:val="008F0771"/>
    <w:rsid w:val="008F12A2"/>
    <w:rsid w:val="008F1A9A"/>
    <w:rsid w:val="008F2C4A"/>
    <w:rsid w:val="008F3435"/>
    <w:rsid w:val="008F4385"/>
    <w:rsid w:val="00903426"/>
    <w:rsid w:val="0090410F"/>
    <w:rsid w:val="00904373"/>
    <w:rsid w:val="00904F4D"/>
    <w:rsid w:val="009067C7"/>
    <w:rsid w:val="009078F1"/>
    <w:rsid w:val="00910322"/>
    <w:rsid w:val="00911B2E"/>
    <w:rsid w:val="00914096"/>
    <w:rsid w:val="009162A7"/>
    <w:rsid w:val="0091681E"/>
    <w:rsid w:val="00917F16"/>
    <w:rsid w:val="009216D1"/>
    <w:rsid w:val="00923881"/>
    <w:rsid w:val="00923AAB"/>
    <w:rsid w:val="00923BFA"/>
    <w:rsid w:val="00926567"/>
    <w:rsid w:val="009272C0"/>
    <w:rsid w:val="009274CD"/>
    <w:rsid w:val="009278E6"/>
    <w:rsid w:val="00931002"/>
    <w:rsid w:val="00931D7F"/>
    <w:rsid w:val="00934862"/>
    <w:rsid w:val="00936756"/>
    <w:rsid w:val="00937358"/>
    <w:rsid w:val="00937935"/>
    <w:rsid w:val="0094280C"/>
    <w:rsid w:val="009433AF"/>
    <w:rsid w:val="00950AD3"/>
    <w:rsid w:val="009510DD"/>
    <w:rsid w:val="00952F76"/>
    <w:rsid w:val="00955028"/>
    <w:rsid w:val="00956500"/>
    <w:rsid w:val="0095672A"/>
    <w:rsid w:val="009575EA"/>
    <w:rsid w:val="009579E7"/>
    <w:rsid w:val="009611FD"/>
    <w:rsid w:val="009624DB"/>
    <w:rsid w:val="009625EF"/>
    <w:rsid w:val="00963C9B"/>
    <w:rsid w:val="00966556"/>
    <w:rsid w:val="0096687F"/>
    <w:rsid w:val="00972D9D"/>
    <w:rsid w:val="00972E2B"/>
    <w:rsid w:val="00973716"/>
    <w:rsid w:val="0097436D"/>
    <w:rsid w:val="00976D6F"/>
    <w:rsid w:val="009808AC"/>
    <w:rsid w:val="009833FE"/>
    <w:rsid w:val="00983935"/>
    <w:rsid w:val="00984545"/>
    <w:rsid w:val="00986302"/>
    <w:rsid w:val="00986F14"/>
    <w:rsid w:val="00991E38"/>
    <w:rsid w:val="0099260C"/>
    <w:rsid w:val="00992E5D"/>
    <w:rsid w:val="009932E7"/>
    <w:rsid w:val="0099456B"/>
    <w:rsid w:val="00994A1D"/>
    <w:rsid w:val="009967EC"/>
    <w:rsid w:val="00997EAE"/>
    <w:rsid w:val="009A066D"/>
    <w:rsid w:val="009A0C13"/>
    <w:rsid w:val="009A20F0"/>
    <w:rsid w:val="009A537C"/>
    <w:rsid w:val="009A6338"/>
    <w:rsid w:val="009A6996"/>
    <w:rsid w:val="009B0892"/>
    <w:rsid w:val="009B0DD6"/>
    <w:rsid w:val="009B0DDB"/>
    <w:rsid w:val="009B179D"/>
    <w:rsid w:val="009B1835"/>
    <w:rsid w:val="009B1E03"/>
    <w:rsid w:val="009B2C76"/>
    <w:rsid w:val="009B5A91"/>
    <w:rsid w:val="009B5BC9"/>
    <w:rsid w:val="009B7BE7"/>
    <w:rsid w:val="009B7E21"/>
    <w:rsid w:val="009C15E5"/>
    <w:rsid w:val="009C36D7"/>
    <w:rsid w:val="009C3B4A"/>
    <w:rsid w:val="009C5BB6"/>
    <w:rsid w:val="009C6449"/>
    <w:rsid w:val="009C6DB2"/>
    <w:rsid w:val="009D04AF"/>
    <w:rsid w:val="009D0FD3"/>
    <w:rsid w:val="009D33B8"/>
    <w:rsid w:val="009D6045"/>
    <w:rsid w:val="009D6106"/>
    <w:rsid w:val="009D73C0"/>
    <w:rsid w:val="009E00AF"/>
    <w:rsid w:val="009E137B"/>
    <w:rsid w:val="009E32B7"/>
    <w:rsid w:val="009E4E52"/>
    <w:rsid w:val="009F0207"/>
    <w:rsid w:val="009F21CB"/>
    <w:rsid w:val="009F2512"/>
    <w:rsid w:val="009F2B99"/>
    <w:rsid w:val="009F383E"/>
    <w:rsid w:val="009F3A89"/>
    <w:rsid w:val="009F508E"/>
    <w:rsid w:val="009F6AC6"/>
    <w:rsid w:val="009F6DB0"/>
    <w:rsid w:val="009F7925"/>
    <w:rsid w:val="00A0062D"/>
    <w:rsid w:val="00A0067A"/>
    <w:rsid w:val="00A0251A"/>
    <w:rsid w:val="00A028AE"/>
    <w:rsid w:val="00A04852"/>
    <w:rsid w:val="00A06F2A"/>
    <w:rsid w:val="00A072F1"/>
    <w:rsid w:val="00A07761"/>
    <w:rsid w:val="00A12263"/>
    <w:rsid w:val="00A1318F"/>
    <w:rsid w:val="00A13253"/>
    <w:rsid w:val="00A13D20"/>
    <w:rsid w:val="00A14102"/>
    <w:rsid w:val="00A15308"/>
    <w:rsid w:val="00A15E2B"/>
    <w:rsid w:val="00A163D4"/>
    <w:rsid w:val="00A16B8E"/>
    <w:rsid w:val="00A17921"/>
    <w:rsid w:val="00A22532"/>
    <w:rsid w:val="00A2274D"/>
    <w:rsid w:val="00A25E1F"/>
    <w:rsid w:val="00A272DC"/>
    <w:rsid w:val="00A30209"/>
    <w:rsid w:val="00A318AD"/>
    <w:rsid w:val="00A32C00"/>
    <w:rsid w:val="00A348B6"/>
    <w:rsid w:val="00A373C4"/>
    <w:rsid w:val="00A44FC5"/>
    <w:rsid w:val="00A52C2F"/>
    <w:rsid w:val="00A54754"/>
    <w:rsid w:val="00A55790"/>
    <w:rsid w:val="00A6030E"/>
    <w:rsid w:val="00A62EC3"/>
    <w:rsid w:val="00A647DA"/>
    <w:rsid w:val="00A6534A"/>
    <w:rsid w:val="00A662EF"/>
    <w:rsid w:val="00A72443"/>
    <w:rsid w:val="00A7303F"/>
    <w:rsid w:val="00A736B1"/>
    <w:rsid w:val="00A75373"/>
    <w:rsid w:val="00A7554E"/>
    <w:rsid w:val="00A774A9"/>
    <w:rsid w:val="00A77AED"/>
    <w:rsid w:val="00A80F22"/>
    <w:rsid w:val="00A82B21"/>
    <w:rsid w:val="00A82C21"/>
    <w:rsid w:val="00A870B9"/>
    <w:rsid w:val="00A87BE2"/>
    <w:rsid w:val="00A90373"/>
    <w:rsid w:val="00A92E5C"/>
    <w:rsid w:val="00A95089"/>
    <w:rsid w:val="00A9586C"/>
    <w:rsid w:val="00A975FF"/>
    <w:rsid w:val="00A97A0E"/>
    <w:rsid w:val="00AA0AC3"/>
    <w:rsid w:val="00AA153D"/>
    <w:rsid w:val="00AA346C"/>
    <w:rsid w:val="00AA4DD9"/>
    <w:rsid w:val="00AA6068"/>
    <w:rsid w:val="00AA725D"/>
    <w:rsid w:val="00AA7923"/>
    <w:rsid w:val="00AB2A66"/>
    <w:rsid w:val="00AB4E1D"/>
    <w:rsid w:val="00AB4FF4"/>
    <w:rsid w:val="00AB6075"/>
    <w:rsid w:val="00AB72BF"/>
    <w:rsid w:val="00AB7C76"/>
    <w:rsid w:val="00AC11F3"/>
    <w:rsid w:val="00AC127C"/>
    <w:rsid w:val="00AC13D2"/>
    <w:rsid w:val="00AC1427"/>
    <w:rsid w:val="00AC14E2"/>
    <w:rsid w:val="00AC1DC7"/>
    <w:rsid w:val="00AC453E"/>
    <w:rsid w:val="00AC4925"/>
    <w:rsid w:val="00AC6E88"/>
    <w:rsid w:val="00AD2778"/>
    <w:rsid w:val="00AD4450"/>
    <w:rsid w:val="00AD51EE"/>
    <w:rsid w:val="00AD5705"/>
    <w:rsid w:val="00AD5FE8"/>
    <w:rsid w:val="00AD6F77"/>
    <w:rsid w:val="00AD712D"/>
    <w:rsid w:val="00AD7234"/>
    <w:rsid w:val="00AE06F9"/>
    <w:rsid w:val="00AE2270"/>
    <w:rsid w:val="00AE3725"/>
    <w:rsid w:val="00AE3BC7"/>
    <w:rsid w:val="00AE5321"/>
    <w:rsid w:val="00AE576E"/>
    <w:rsid w:val="00AE61B7"/>
    <w:rsid w:val="00AF196B"/>
    <w:rsid w:val="00B01004"/>
    <w:rsid w:val="00B02DD3"/>
    <w:rsid w:val="00B03FDB"/>
    <w:rsid w:val="00B0631A"/>
    <w:rsid w:val="00B07FF3"/>
    <w:rsid w:val="00B104D5"/>
    <w:rsid w:val="00B13171"/>
    <w:rsid w:val="00B1618F"/>
    <w:rsid w:val="00B1682E"/>
    <w:rsid w:val="00B17067"/>
    <w:rsid w:val="00B20006"/>
    <w:rsid w:val="00B22CF9"/>
    <w:rsid w:val="00B2316B"/>
    <w:rsid w:val="00B240C1"/>
    <w:rsid w:val="00B241B1"/>
    <w:rsid w:val="00B24E44"/>
    <w:rsid w:val="00B24F07"/>
    <w:rsid w:val="00B254A6"/>
    <w:rsid w:val="00B27A04"/>
    <w:rsid w:val="00B30A51"/>
    <w:rsid w:val="00B30A90"/>
    <w:rsid w:val="00B31725"/>
    <w:rsid w:val="00B333E1"/>
    <w:rsid w:val="00B403A9"/>
    <w:rsid w:val="00B40A53"/>
    <w:rsid w:val="00B411CD"/>
    <w:rsid w:val="00B4190D"/>
    <w:rsid w:val="00B41A92"/>
    <w:rsid w:val="00B44975"/>
    <w:rsid w:val="00B44A89"/>
    <w:rsid w:val="00B44E72"/>
    <w:rsid w:val="00B46768"/>
    <w:rsid w:val="00B469A2"/>
    <w:rsid w:val="00B46D68"/>
    <w:rsid w:val="00B46D7C"/>
    <w:rsid w:val="00B501D8"/>
    <w:rsid w:val="00B513C0"/>
    <w:rsid w:val="00B524AE"/>
    <w:rsid w:val="00B52A0E"/>
    <w:rsid w:val="00B53B7F"/>
    <w:rsid w:val="00B53C18"/>
    <w:rsid w:val="00B53DAE"/>
    <w:rsid w:val="00B56F6D"/>
    <w:rsid w:val="00B579ED"/>
    <w:rsid w:val="00B60EC6"/>
    <w:rsid w:val="00B637E6"/>
    <w:rsid w:val="00B6540E"/>
    <w:rsid w:val="00B662E9"/>
    <w:rsid w:val="00B669E7"/>
    <w:rsid w:val="00B66D9D"/>
    <w:rsid w:val="00B70E14"/>
    <w:rsid w:val="00B724F2"/>
    <w:rsid w:val="00B75B59"/>
    <w:rsid w:val="00B7742F"/>
    <w:rsid w:val="00B77C6C"/>
    <w:rsid w:val="00B80D23"/>
    <w:rsid w:val="00B824B3"/>
    <w:rsid w:val="00B840D5"/>
    <w:rsid w:val="00B85D65"/>
    <w:rsid w:val="00B90CA5"/>
    <w:rsid w:val="00B918BC"/>
    <w:rsid w:val="00B91FFE"/>
    <w:rsid w:val="00B92DA7"/>
    <w:rsid w:val="00B9600F"/>
    <w:rsid w:val="00B963CF"/>
    <w:rsid w:val="00BA464C"/>
    <w:rsid w:val="00BA4B27"/>
    <w:rsid w:val="00BA52A9"/>
    <w:rsid w:val="00BA61B2"/>
    <w:rsid w:val="00BA71C1"/>
    <w:rsid w:val="00BA74CB"/>
    <w:rsid w:val="00BA7763"/>
    <w:rsid w:val="00BA779F"/>
    <w:rsid w:val="00BA7F54"/>
    <w:rsid w:val="00BA7F5F"/>
    <w:rsid w:val="00BB0830"/>
    <w:rsid w:val="00BB1C10"/>
    <w:rsid w:val="00BB2E15"/>
    <w:rsid w:val="00BB307F"/>
    <w:rsid w:val="00BB46FD"/>
    <w:rsid w:val="00BB5223"/>
    <w:rsid w:val="00BC02AC"/>
    <w:rsid w:val="00BC1F04"/>
    <w:rsid w:val="00BC2F1E"/>
    <w:rsid w:val="00BC4DCE"/>
    <w:rsid w:val="00BC71E8"/>
    <w:rsid w:val="00BC7AD7"/>
    <w:rsid w:val="00BD1892"/>
    <w:rsid w:val="00BD1A8C"/>
    <w:rsid w:val="00BD2B37"/>
    <w:rsid w:val="00BD4D9C"/>
    <w:rsid w:val="00BD5220"/>
    <w:rsid w:val="00BD7B4C"/>
    <w:rsid w:val="00BD7E23"/>
    <w:rsid w:val="00BE23ED"/>
    <w:rsid w:val="00BE4ABB"/>
    <w:rsid w:val="00BE57C0"/>
    <w:rsid w:val="00BE6A60"/>
    <w:rsid w:val="00BE6DAF"/>
    <w:rsid w:val="00BF10D1"/>
    <w:rsid w:val="00BF1894"/>
    <w:rsid w:val="00BF3590"/>
    <w:rsid w:val="00BF3B46"/>
    <w:rsid w:val="00BF3CD5"/>
    <w:rsid w:val="00BF44AB"/>
    <w:rsid w:val="00BF4733"/>
    <w:rsid w:val="00BF47A5"/>
    <w:rsid w:val="00BF5590"/>
    <w:rsid w:val="00BF57B9"/>
    <w:rsid w:val="00BF7DB7"/>
    <w:rsid w:val="00C009AD"/>
    <w:rsid w:val="00C01276"/>
    <w:rsid w:val="00C01AA1"/>
    <w:rsid w:val="00C01F82"/>
    <w:rsid w:val="00C0296A"/>
    <w:rsid w:val="00C02B3D"/>
    <w:rsid w:val="00C03EBD"/>
    <w:rsid w:val="00C04D90"/>
    <w:rsid w:val="00C05AA5"/>
    <w:rsid w:val="00C06CDA"/>
    <w:rsid w:val="00C10048"/>
    <w:rsid w:val="00C1025B"/>
    <w:rsid w:val="00C2168A"/>
    <w:rsid w:val="00C24CC4"/>
    <w:rsid w:val="00C25A1D"/>
    <w:rsid w:val="00C2636E"/>
    <w:rsid w:val="00C27A0B"/>
    <w:rsid w:val="00C30AB7"/>
    <w:rsid w:val="00C317B4"/>
    <w:rsid w:val="00C31BAC"/>
    <w:rsid w:val="00C33E35"/>
    <w:rsid w:val="00C36A29"/>
    <w:rsid w:val="00C377DE"/>
    <w:rsid w:val="00C425F1"/>
    <w:rsid w:val="00C433F8"/>
    <w:rsid w:val="00C440F1"/>
    <w:rsid w:val="00C45064"/>
    <w:rsid w:val="00C502E9"/>
    <w:rsid w:val="00C52B83"/>
    <w:rsid w:val="00C5359F"/>
    <w:rsid w:val="00C53942"/>
    <w:rsid w:val="00C54B78"/>
    <w:rsid w:val="00C550C6"/>
    <w:rsid w:val="00C55222"/>
    <w:rsid w:val="00C56618"/>
    <w:rsid w:val="00C57E5C"/>
    <w:rsid w:val="00C60951"/>
    <w:rsid w:val="00C62996"/>
    <w:rsid w:val="00C6312C"/>
    <w:rsid w:val="00C6319D"/>
    <w:rsid w:val="00C64BE8"/>
    <w:rsid w:val="00C64E2C"/>
    <w:rsid w:val="00C6669B"/>
    <w:rsid w:val="00C66A1A"/>
    <w:rsid w:val="00C67269"/>
    <w:rsid w:val="00C67B8C"/>
    <w:rsid w:val="00C67D34"/>
    <w:rsid w:val="00C70192"/>
    <w:rsid w:val="00C703D7"/>
    <w:rsid w:val="00C723B2"/>
    <w:rsid w:val="00C73519"/>
    <w:rsid w:val="00C74204"/>
    <w:rsid w:val="00C74EE0"/>
    <w:rsid w:val="00C76168"/>
    <w:rsid w:val="00C80868"/>
    <w:rsid w:val="00C80CBC"/>
    <w:rsid w:val="00C8250D"/>
    <w:rsid w:val="00C82BE9"/>
    <w:rsid w:val="00C82DB4"/>
    <w:rsid w:val="00C85FFA"/>
    <w:rsid w:val="00C86C2E"/>
    <w:rsid w:val="00C87423"/>
    <w:rsid w:val="00C97A45"/>
    <w:rsid w:val="00C97BB0"/>
    <w:rsid w:val="00CA026E"/>
    <w:rsid w:val="00CA096D"/>
    <w:rsid w:val="00CA0FCF"/>
    <w:rsid w:val="00CA2E7E"/>
    <w:rsid w:val="00CA5A64"/>
    <w:rsid w:val="00CA5E27"/>
    <w:rsid w:val="00CA6C18"/>
    <w:rsid w:val="00CA797F"/>
    <w:rsid w:val="00CA7EA9"/>
    <w:rsid w:val="00CB1E69"/>
    <w:rsid w:val="00CB2B95"/>
    <w:rsid w:val="00CB2C2F"/>
    <w:rsid w:val="00CB3B30"/>
    <w:rsid w:val="00CB40CB"/>
    <w:rsid w:val="00CB41D8"/>
    <w:rsid w:val="00CB4E89"/>
    <w:rsid w:val="00CB4EF8"/>
    <w:rsid w:val="00CB5835"/>
    <w:rsid w:val="00CB5F4B"/>
    <w:rsid w:val="00CB72FE"/>
    <w:rsid w:val="00CB7F3D"/>
    <w:rsid w:val="00CC15D0"/>
    <w:rsid w:val="00CC1E85"/>
    <w:rsid w:val="00CC2465"/>
    <w:rsid w:val="00CC3BCD"/>
    <w:rsid w:val="00CC6B38"/>
    <w:rsid w:val="00CD12EC"/>
    <w:rsid w:val="00CD1A73"/>
    <w:rsid w:val="00CD2F82"/>
    <w:rsid w:val="00CD3177"/>
    <w:rsid w:val="00CD5227"/>
    <w:rsid w:val="00CD55EC"/>
    <w:rsid w:val="00CD596A"/>
    <w:rsid w:val="00CD61E7"/>
    <w:rsid w:val="00CE2B7B"/>
    <w:rsid w:val="00CE5837"/>
    <w:rsid w:val="00CE5950"/>
    <w:rsid w:val="00CE5EB3"/>
    <w:rsid w:val="00CE6985"/>
    <w:rsid w:val="00CF09A6"/>
    <w:rsid w:val="00CF14AC"/>
    <w:rsid w:val="00CF2955"/>
    <w:rsid w:val="00CF3B1C"/>
    <w:rsid w:val="00CF4DA5"/>
    <w:rsid w:val="00CF7B8F"/>
    <w:rsid w:val="00D0335C"/>
    <w:rsid w:val="00D05EDA"/>
    <w:rsid w:val="00D10861"/>
    <w:rsid w:val="00D10B8B"/>
    <w:rsid w:val="00D118FB"/>
    <w:rsid w:val="00D12C77"/>
    <w:rsid w:val="00D13957"/>
    <w:rsid w:val="00D13BB5"/>
    <w:rsid w:val="00D15B08"/>
    <w:rsid w:val="00D15EAA"/>
    <w:rsid w:val="00D1793D"/>
    <w:rsid w:val="00D22834"/>
    <w:rsid w:val="00D23585"/>
    <w:rsid w:val="00D24025"/>
    <w:rsid w:val="00D24516"/>
    <w:rsid w:val="00D25C6C"/>
    <w:rsid w:val="00D26518"/>
    <w:rsid w:val="00D2698F"/>
    <w:rsid w:val="00D27668"/>
    <w:rsid w:val="00D30699"/>
    <w:rsid w:val="00D318B1"/>
    <w:rsid w:val="00D33D30"/>
    <w:rsid w:val="00D34845"/>
    <w:rsid w:val="00D3522E"/>
    <w:rsid w:val="00D35544"/>
    <w:rsid w:val="00D3760E"/>
    <w:rsid w:val="00D41E4B"/>
    <w:rsid w:val="00D42BA0"/>
    <w:rsid w:val="00D43D1B"/>
    <w:rsid w:val="00D44A9D"/>
    <w:rsid w:val="00D46326"/>
    <w:rsid w:val="00D50119"/>
    <w:rsid w:val="00D50515"/>
    <w:rsid w:val="00D53210"/>
    <w:rsid w:val="00D5513B"/>
    <w:rsid w:val="00D56893"/>
    <w:rsid w:val="00D62BDB"/>
    <w:rsid w:val="00D63669"/>
    <w:rsid w:val="00D6393B"/>
    <w:rsid w:val="00D6415C"/>
    <w:rsid w:val="00D65F52"/>
    <w:rsid w:val="00D6601D"/>
    <w:rsid w:val="00D6618D"/>
    <w:rsid w:val="00D722CC"/>
    <w:rsid w:val="00D72687"/>
    <w:rsid w:val="00D73C34"/>
    <w:rsid w:val="00D751AC"/>
    <w:rsid w:val="00D802BE"/>
    <w:rsid w:val="00D80564"/>
    <w:rsid w:val="00D81318"/>
    <w:rsid w:val="00D81D06"/>
    <w:rsid w:val="00D826FB"/>
    <w:rsid w:val="00D82A00"/>
    <w:rsid w:val="00D84FCB"/>
    <w:rsid w:val="00D862CE"/>
    <w:rsid w:val="00D863F8"/>
    <w:rsid w:val="00D87A69"/>
    <w:rsid w:val="00D87FA7"/>
    <w:rsid w:val="00D912A2"/>
    <w:rsid w:val="00D9202F"/>
    <w:rsid w:val="00D92162"/>
    <w:rsid w:val="00D934FF"/>
    <w:rsid w:val="00D95A29"/>
    <w:rsid w:val="00D95FEE"/>
    <w:rsid w:val="00D9600D"/>
    <w:rsid w:val="00D96705"/>
    <w:rsid w:val="00DA1532"/>
    <w:rsid w:val="00DA22F3"/>
    <w:rsid w:val="00DA567B"/>
    <w:rsid w:val="00DA5911"/>
    <w:rsid w:val="00DA65E4"/>
    <w:rsid w:val="00DA6AB7"/>
    <w:rsid w:val="00DB04DC"/>
    <w:rsid w:val="00DB4B01"/>
    <w:rsid w:val="00DB6F51"/>
    <w:rsid w:val="00DC4147"/>
    <w:rsid w:val="00DC45B8"/>
    <w:rsid w:val="00DC71EB"/>
    <w:rsid w:val="00DC7539"/>
    <w:rsid w:val="00DC75DB"/>
    <w:rsid w:val="00DC7DFB"/>
    <w:rsid w:val="00DD131C"/>
    <w:rsid w:val="00DD246C"/>
    <w:rsid w:val="00DD2AA5"/>
    <w:rsid w:val="00DD3EA4"/>
    <w:rsid w:val="00DD4841"/>
    <w:rsid w:val="00DD49AD"/>
    <w:rsid w:val="00DD6698"/>
    <w:rsid w:val="00DD6E2A"/>
    <w:rsid w:val="00DE0954"/>
    <w:rsid w:val="00DE1999"/>
    <w:rsid w:val="00DE2BD1"/>
    <w:rsid w:val="00DE3912"/>
    <w:rsid w:val="00DE3C4F"/>
    <w:rsid w:val="00DE4FCF"/>
    <w:rsid w:val="00DE5BE2"/>
    <w:rsid w:val="00DE640D"/>
    <w:rsid w:val="00DE77C4"/>
    <w:rsid w:val="00DF269B"/>
    <w:rsid w:val="00DF269C"/>
    <w:rsid w:val="00DF4403"/>
    <w:rsid w:val="00DF5CFD"/>
    <w:rsid w:val="00DF649D"/>
    <w:rsid w:val="00DF6D95"/>
    <w:rsid w:val="00DF731D"/>
    <w:rsid w:val="00E0021E"/>
    <w:rsid w:val="00E02D19"/>
    <w:rsid w:val="00E035F4"/>
    <w:rsid w:val="00E0360F"/>
    <w:rsid w:val="00E0407B"/>
    <w:rsid w:val="00E04B81"/>
    <w:rsid w:val="00E06947"/>
    <w:rsid w:val="00E06C3F"/>
    <w:rsid w:val="00E10B38"/>
    <w:rsid w:val="00E12C3A"/>
    <w:rsid w:val="00E149FC"/>
    <w:rsid w:val="00E154D4"/>
    <w:rsid w:val="00E156BE"/>
    <w:rsid w:val="00E15D04"/>
    <w:rsid w:val="00E20604"/>
    <w:rsid w:val="00E2110C"/>
    <w:rsid w:val="00E224CB"/>
    <w:rsid w:val="00E229E2"/>
    <w:rsid w:val="00E22CD4"/>
    <w:rsid w:val="00E22FB8"/>
    <w:rsid w:val="00E23FFE"/>
    <w:rsid w:val="00E25814"/>
    <w:rsid w:val="00E25AA9"/>
    <w:rsid w:val="00E25D06"/>
    <w:rsid w:val="00E26DC0"/>
    <w:rsid w:val="00E305CD"/>
    <w:rsid w:val="00E30C0C"/>
    <w:rsid w:val="00E312D0"/>
    <w:rsid w:val="00E3275D"/>
    <w:rsid w:val="00E33318"/>
    <w:rsid w:val="00E33FAB"/>
    <w:rsid w:val="00E34AC5"/>
    <w:rsid w:val="00E40905"/>
    <w:rsid w:val="00E41FE5"/>
    <w:rsid w:val="00E42145"/>
    <w:rsid w:val="00E43DEE"/>
    <w:rsid w:val="00E43EF3"/>
    <w:rsid w:val="00E43FC8"/>
    <w:rsid w:val="00E4414B"/>
    <w:rsid w:val="00E44A3B"/>
    <w:rsid w:val="00E4567E"/>
    <w:rsid w:val="00E46CE6"/>
    <w:rsid w:val="00E47C84"/>
    <w:rsid w:val="00E50269"/>
    <w:rsid w:val="00E50850"/>
    <w:rsid w:val="00E50E3A"/>
    <w:rsid w:val="00E512B8"/>
    <w:rsid w:val="00E53419"/>
    <w:rsid w:val="00E53862"/>
    <w:rsid w:val="00E53BE4"/>
    <w:rsid w:val="00E53F52"/>
    <w:rsid w:val="00E54653"/>
    <w:rsid w:val="00E54D77"/>
    <w:rsid w:val="00E55681"/>
    <w:rsid w:val="00E6179F"/>
    <w:rsid w:val="00E62F10"/>
    <w:rsid w:val="00E6490E"/>
    <w:rsid w:val="00E64FD1"/>
    <w:rsid w:val="00E7097D"/>
    <w:rsid w:val="00E713EA"/>
    <w:rsid w:val="00E72AA7"/>
    <w:rsid w:val="00E72DA4"/>
    <w:rsid w:val="00E87C96"/>
    <w:rsid w:val="00E87E59"/>
    <w:rsid w:val="00E91FB2"/>
    <w:rsid w:val="00E92344"/>
    <w:rsid w:val="00E924AB"/>
    <w:rsid w:val="00E92E84"/>
    <w:rsid w:val="00E94648"/>
    <w:rsid w:val="00E94E26"/>
    <w:rsid w:val="00E955BF"/>
    <w:rsid w:val="00E956AA"/>
    <w:rsid w:val="00EA0557"/>
    <w:rsid w:val="00EA1446"/>
    <w:rsid w:val="00EA3428"/>
    <w:rsid w:val="00EA5707"/>
    <w:rsid w:val="00EB2DD4"/>
    <w:rsid w:val="00EB3154"/>
    <w:rsid w:val="00EB48FE"/>
    <w:rsid w:val="00EB61E2"/>
    <w:rsid w:val="00EB68F9"/>
    <w:rsid w:val="00EB6A56"/>
    <w:rsid w:val="00EB6E0E"/>
    <w:rsid w:val="00EB719C"/>
    <w:rsid w:val="00EB7967"/>
    <w:rsid w:val="00EC0706"/>
    <w:rsid w:val="00EC3B3E"/>
    <w:rsid w:val="00EC4623"/>
    <w:rsid w:val="00EC5318"/>
    <w:rsid w:val="00EC5AB1"/>
    <w:rsid w:val="00EC5CBA"/>
    <w:rsid w:val="00EC73A9"/>
    <w:rsid w:val="00ED16AF"/>
    <w:rsid w:val="00ED1C68"/>
    <w:rsid w:val="00ED2F1B"/>
    <w:rsid w:val="00ED7FC0"/>
    <w:rsid w:val="00EE263D"/>
    <w:rsid w:val="00EE2CB0"/>
    <w:rsid w:val="00EE3097"/>
    <w:rsid w:val="00EE3D98"/>
    <w:rsid w:val="00EE4528"/>
    <w:rsid w:val="00EE467A"/>
    <w:rsid w:val="00EE47DB"/>
    <w:rsid w:val="00EE5B7C"/>
    <w:rsid w:val="00EE62A2"/>
    <w:rsid w:val="00EE7928"/>
    <w:rsid w:val="00EE7D68"/>
    <w:rsid w:val="00EF0EAF"/>
    <w:rsid w:val="00EF6519"/>
    <w:rsid w:val="00EF6711"/>
    <w:rsid w:val="00F038DD"/>
    <w:rsid w:val="00F04279"/>
    <w:rsid w:val="00F06BA2"/>
    <w:rsid w:val="00F132F1"/>
    <w:rsid w:val="00F1424C"/>
    <w:rsid w:val="00F14D6D"/>
    <w:rsid w:val="00F16F7D"/>
    <w:rsid w:val="00F17088"/>
    <w:rsid w:val="00F176BA"/>
    <w:rsid w:val="00F20A5C"/>
    <w:rsid w:val="00F21198"/>
    <w:rsid w:val="00F21F42"/>
    <w:rsid w:val="00F24A47"/>
    <w:rsid w:val="00F255D7"/>
    <w:rsid w:val="00F26ADB"/>
    <w:rsid w:val="00F27605"/>
    <w:rsid w:val="00F27972"/>
    <w:rsid w:val="00F27B79"/>
    <w:rsid w:val="00F32530"/>
    <w:rsid w:val="00F33F40"/>
    <w:rsid w:val="00F35E1A"/>
    <w:rsid w:val="00F3680B"/>
    <w:rsid w:val="00F37417"/>
    <w:rsid w:val="00F37D08"/>
    <w:rsid w:val="00F42F1E"/>
    <w:rsid w:val="00F434EF"/>
    <w:rsid w:val="00F43512"/>
    <w:rsid w:val="00F44CDF"/>
    <w:rsid w:val="00F454D3"/>
    <w:rsid w:val="00F455BF"/>
    <w:rsid w:val="00F46B6A"/>
    <w:rsid w:val="00F47569"/>
    <w:rsid w:val="00F51575"/>
    <w:rsid w:val="00F5252A"/>
    <w:rsid w:val="00F52538"/>
    <w:rsid w:val="00F54543"/>
    <w:rsid w:val="00F577D7"/>
    <w:rsid w:val="00F57FDA"/>
    <w:rsid w:val="00F60298"/>
    <w:rsid w:val="00F6575F"/>
    <w:rsid w:val="00F67257"/>
    <w:rsid w:val="00F7279C"/>
    <w:rsid w:val="00F728E7"/>
    <w:rsid w:val="00F728EE"/>
    <w:rsid w:val="00F74335"/>
    <w:rsid w:val="00F75BC6"/>
    <w:rsid w:val="00F81732"/>
    <w:rsid w:val="00F821B7"/>
    <w:rsid w:val="00F839CB"/>
    <w:rsid w:val="00F841F0"/>
    <w:rsid w:val="00F8699C"/>
    <w:rsid w:val="00F87787"/>
    <w:rsid w:val="00F908B0"/>
    <w:rsid w:val="00F90DEB"/>
    <w:rsid w:val="00F9408D"/>
    <w:rsid w:val="00F946DB"/>
    <w:rsid w:val="00F97822"/>
    <w:rsid w:val="00FA19B1"/>
    <w:rsid w:val="00FA517D"/>
    <w:rsid w:val="00FA58E0"/>
    <w:rsid w:val="00FA5A34"/>
    <w:rsid w:val="00FA7534"/>
    <w:rsid w:val="00FA7BEC"/>
    <w:rsid w:val="00FB21BC"/>
    <w:rsid w:val="00FB24F1"/>
    <w:rsid w:val="00FB3384"/>
    <w:rsid w:val="00FB3CAA"/>
    <w:rsid w:val="00FB459E"/>
    <w:rsid w:val="00FB4837"/>
    <w:rsid w:val="00FB54F6"/>
    <w:rsid w:val="00FB6117"/>
    <w:rsid w:val="00FB6DE0"/>
    <w:rsid w:val="00FC0644"/>
    <w:rsid w:val="00FC292A"/>
    <w:rsid w:val="00FC4958"/>
    <w:rsid w:val="00FC5ED8"/>
    <w:rsid w:val="00FD19C1"/>
    <w:rsid w:val="00FD26A6"/>
    <w:rsid w:val="00FD423B"/>
    <w:rsid w:val="00FD7053"/>
    <w:rsid w:val="00FD710B"/>
    <w:rsid w:val="00FE0235"/>
    <w:rsid w:val="00FE3032"/>
    <w:rsid w:val="00FE7263"/>
    <w:rsid w:val="00FE7E82"/>
    <w:rsid w:val="00FF0C8D"/>
    <w:rsid w:val="00FF1D64"/>
    <w:rsid w:val="00FF1E33"/>
    <w:rsid w:val="00FF235F"/>
    <w:rsid w:val="00FF4984"/>
    <w:rsid w:val="00FF5F78"/>
    <w:rsid w:val="027E279D"/>
    <w:rsid w:val="02F77BF8"/>
    <w:rsid w:val="072D2B92"/>
    <w:rsid w:val="077E2FEC"/>
    <w:rsid w:val="078D43AF"/>
    <w:rsid w:val="0ADE09BC"/>
    <w:rsid w:val="0B574D89"/>
    <w:rsid w:val="119D735E"/>
    <w:rsid w:val="141873B0"/>
    <w:rsid w:val="1B965141"/>
    <w:rsid w:val="201F4258"/>
    <w:rsid w:val="2121162E"/>
    <w:rsid w:val="213C70F6"/>
    <w:rsid w:val="23085249"/>
    <w:rsid w:val="23342116"/>
    <w:rsid w:val="2448760B"/>
    <w:rsid w:val="253F652D"/>
    <w:rsid w:val="25602506"/>
    <w:rsid w:val="2B19617D"/>
    <w:rsid w:val="2B2E2C8C"/>
    <w:rsid w:val="2DBC4E80"/>
    <w:rsid w:val="3062745A"/>
    <w:rsid w:val="30911F73"/>
    <w:rsid w:val="331A3844"/>
    <w:rsid w:val="396700CA"/>
    <w:rsid w:val="3CE0672B"/>
    <w:rsid w:val="3E62420D"/>
    <w:rsid w:val="3F7C04DC"/>
    <w:rsid w:val="430B6027"/>
    <w:rsid w:val="43347005"/>
    <w:rsid w:val="44A72533"/>
    <w:rsid w:val="45AC1FF6"/>
    <w:rsid w:val="473762CF"/>
    <w:rsid w:val="48C742DC"/>
    <w:rsid w:val="4B840262"/>
    <w:rsid w:val="4BCD5D7A"/>
    <w:rsid w:val="53324013"/>
    <w:rsid w:val="53422EDD"/>
    <w:rsid w:val="540E7126"/>
    <w:rsid w:val="55280243"/>
    <w:rsid w:val="55B50258"/>
    <w:rsid w:val="562C577E"/>
    <w:rsid w:val="5CC548B6"/>
    <w:rsid w:val="5E964388"/>
    <w:rsid w:val="613F5476"/>
    <w:rsid w:val="61CA743E"/>
    <w:rsid w:val="62C10565"/>
    <w:rsid w:val="63BD3AC5"/>
    <w:rsid w:val="66CC1733"/>
    <w:rsid w:val="69280CFB"/>
    <w:rsid w:val="6D0A0FE9"/>
    <w:rsid w:val="6D210BCB"/>
    <w:rsid w:val="709D505A"/>
    <w:rsid w:val="71F85EAC"/>
    <w:rsid w:val="72977327"/>
    <w:rsid w:val="72A41ACC"/>
    <w:rsid w:val="72A84520"/>
    <w:rsid w:val="741A7942"/>
    <w:rsid w:val="75987E16"/>
    <w:rsid w:val="760B1D0D"/>
    <w:rsid w:val="767E21AF"/>
    <w:rsid w:val="781D0669"/>
    <w:rsid w:val="797A4C84"/>
    <w:rsid w:val="7A440488"/>
    <w:rsid w:val="7B327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sz w:val="32"/>
      <w:szCs w:val="32"/>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link w:val="25"/>
    <w:semiHidden/>
    <w:unhideWhenUsed/>
    <w:qFormat/>
    <w:uiPriority w:val="99"/>
    <w:pPr>
      <w:spacing w:after="120"/>
      <w:ind w:left="420" w:leftChars="200"/>
    </w:p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Plain Text"/>
    <w:basedOn w:val="1"/>
    <w:link w:val="30"/>
    <w:unhideWhenUsed/>
    <w:qFormat/>
    <w:uiPriority w:val="0"/>
    <w:rPr>
      <w:rFonts w:ascii="宋体" w:hAnsi="Courier New" w:cs="Courier New"/>
    </w:r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31"/>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paragraph" w:styleId="15">
    <w:name w:val="Normal (Web)"/>
    <w:basedOn w:val="1"/>
    <w:semiHidden/>
    <w:unhideWhenUsed/>
    <w:qFormat/>
    <w:uiPriority w:val="99"/>
    <w:pPr>
      <w:spacing w:beforeAutospacing="1" w:afterAutospacing="1"/>
      <w:jc w:val="left"/>
    </w:pPr>
    <w:rPr>
      <w:kern w:val="0"/>
      <w:sz w:val="24"/>
    </w:rPr>
  </w:style>
  <w:style w:type="paragraph" w:styleId="16">
    <w:name w:val="Body Text First Indent 2"/>
    <w:basedOn w:val="6"/>
    <w:link w:val="26"/>
    <w:unhideWhenUsed/>
    <w:qFormat/>
    <w:uiPriority w:val="99"/>
    <w:pPr>
      <w:ind w:firstLine="420"/>
    </w:pPr>
  </w:style>
  <w:style w:type="table" w:styleId="18">
    <w:name w:val="Table Grid"/>
    <w:basedOn w:val="1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u w:val="single"/>
    </w:rPr>
  </w:style>
  <w:style w:type="character" w:styleId="21">
    <w:name w:val="Hyperlink"/>
    <w:basedOn w:val="19"/>
    <w:unhideWhenUsed/>
    <w:qFormat/>
    <w:uiPriority w:val="99"/>
    <w:rPr>
      <w:color w:val="0000FF"/>
      <w:u w:val="single"/>
    </w:rPr>
  </w:style>
  <w:style w:type="character" w:customStyle="1" w:styleId="22">
    <w:name w:val="页眉 Char"/>
    <w:basedOn w:val="19"/>
    <w:link w:val="12"/>
    <w:qFormat/>
    <w:uiPriority w:val="99"/>
    <w:rPr>
      <w:rFonts w:ascii="Times New Roman" w:hAnsi="Times New Roman" w:eastAsia="宋体" w:cs="Times New Roman"/>
      <w:sz w:val="18"/>
      <w:szCs w:val="18"/>
    </w:rPr>
  </w:style>
  <w:style w:type="character" w:customStyle="1" w:styleId="23">
    <w:name w:val="页脚 Char1"/>
    <w:basedOn w:val="19"/>
    <w:link w:val="11"/>
    <w:qFormat/>
    <w:uiPriority w:val="99"/>
    <w:rPr>
      <w:rFonts w:ascii="Times New Roman" w:hAnsi="Times New Roman" w:eastAsia="宋体" w:cs="Times New Roman"/>
      <w:sz w:val="18"/>
      <w:szCs w:val="18"/>
    </w:rPr>
  </w:style>
  <w:style w:type="character" w:customStyle="1" w:styleId="24">
    <w:name w:val="标题 2 Char"/>
    <w:basedOn w:val="19"/>
    <w:link w:val="4"/>
    <w:qFormat/>
    <w:uiPriority w:val="9"/>
    <w:rPr>
      <w:rFonts w:asciiTheme="majorHAnsi" w:hAnsiTheme="majorHAnsi" w:eastAsiaTheme="majorEastAsia" w:cstheme="majorBidi"/>
      <w:b/>
      <w:bCs/>
      <w:sz w:val="32"/>
      <w:szCs w:val="32"/>
    </w:rPr>
  </w:style>
  <w:style w:type="character" w:customStyle="1" w:styleId="25">
    <w:name w:val="正文文本缩进 Char"/>
    <w:basedOn w:val="19"/>
    <w:link w:val="6"/>
    <w:semiHidden/>
    <w:qFormat/>
    <w:uiPriority w:val="99"/>
    <w:rPr>
      <w:rFonts w:ascii="Times New Roman" w:hAnsi="Times New Roman" w:eastAsia="宋体" w:cs="Times New Roman"/>
      <w:szCs w:val="24"/>
    </w:rPr>
  </w:style>
  <w:style w:type="character" w:customStyle="1" w:styleId="26">
    <w:name w:val="正文首行缩进 2 Char"/>
    <w:basedOn w:val="25"/>
    <w:link w:val="16"/>
    <w:qFormat/>
    <w:uiPriority w:val="99"/>
    <w:rPr>
      <w:rFonts w:ascii="Times New Roman" w:hAnsi="Times New Roman" w:eastAsia="宋体" w:cs="Times New Roman"/>
      <w:szCs w:val="24"/>
    </w:rPr>
  </w:style>
  <w:style w:type="character" w:customStyle="1" w:styleId="27">
    <w:name w:val="日期 Char"/>
    <w:basedOn w:val="19"/>
    <w:link w:val="9"/>
    <w:semiHidden/>
    <w:qFormat/>
    <w:uiPriority w:val="99"/>
    <w:rPr>
      <w:rFonts w:ascii="Times New Roman" w:hAnsi="Times New Roman" w:eastAsia="宋体" w:cs="Times New Roman"/>
      <w:szCs w:val="24"/>
    </w:rPr>
  </w:style>
  <w:style w:type="character" w:customStyle="1" w:styleId="28">
    <w:name w:val="标题 1 Char"/>
    <w:basedOn w:val="19"/>
    <w:link w:val="3"/>
    <w:qFormat/>
    <w:uiPriority w:val="9"/>
    <w:rPr>
      <w:rFonts w:ascii="Times New Roman" w:hAnsi="Times New Roman" w:eastAsia="宋体" w:cs="Times New Roman"/>
      <w:b/>
      <w:bCs/>
      <w:kern w:val="44"/>
      <w:sz w:val="44"/>
      <w:szCs w:val="44"/>
    </w:rPr>
  </w:style>
  <w:style w:type="character" w:customStyle="1" w:styleId="29">
    <w:name w:val="标题 3 Char"/>
    <w:basedOn w:val="19"/>
    <w:link w:val="5"/>
    <w:qFormat/>
    <w:uiPriority w:val="0"/>
    <w:rPr>
      <w:rFonts w:ascii="Times New Roman" w:hAnsi="Times New Roman" w:eastAsia="宋体" w:cs="Times New Roman"/>
      <w:b/>
      <w:bCs/>
      <w:sz w:val="32"/>
      <w:szCs w:val="32"/>
    </w:rPr>
  </w:style>
  <w:style w:type="character" w:customStyle="1" w:styleId="30">
    <w:name w:val="纯文本 Char"/>
    <w:basedOn w:val="19"/>
    <w:link w:val="8"/>
    <w:qFormat/>
    <w:uiPriority w:val="0"/>
    <w:rPr>
      <w:rFonts w:ascii="宋体" w:hAnsi="Courier New" w:eastAsia="宋体" w:cs="Courier New"/>
      <w:szCs w:val="24"/>
    </w:rPr>
  </w:style>
  <w:style w:type="character" w:customStyle="1" w:styleId="31">
    <w:name w:val="批注框文本 Char"/>
    <w:basedOn w:val="19"/>
    <w:link w:val="10"/>
    <w:semiHidden/>
    <w:qFormat/>
    <w:uiPriority w:val="99"/>
    <w:rPr>
      <w:rFonts w:ascii="Times New Roman" w:hAnsi="Times New Roman" w:eastAsia="宋体" w:cs="Times New Roman"/>
      <w:sz w:val="18"/>
      <w:szCs w:val="18"/>
    </w:rPr>
  </w:style>
  <w:style w:type="paragraph" w:customStyle="1" w:styleId="32">
    <w:name w:val="样式13"/>
    <w:basedOn w:val="1"/>
    <w:qFormat/>
    <w:uiPriority w:val="0"/>
    <w:pPr>
      <w:jc w:val="center"/>
    </w:pPr>
    <w:rPr>
      <w:rFonts w:eastAsia="仿宋_GB2312"/>
      <w:szCs w:val="21"/>
    </w:rPr>
  </w:style>
  <w:style w:type="paragraph" w:customStyle="1" w:styleId="3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4">
    <w:name w:val="List Paragraph"/>
    <w:basedOn w:val="1"/>
    <w:qFormat/>
    <w:uiPriority w:val="34"/>
    <w:pPr>
      <w:ind w:firstLine="420" w:firstLineChars="200"/>
    </w:p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39">
    <w:name w:val="font8"/>
    <w:basedOn w:val="1"/>
    <w:qFormat/>
    <w:uiPriority w:val="0"/>
    <w:pPr>
      <w:widowControl/>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40">
    <w:name w:val="font9"/>
    <w:basedOn w:val="1"/>
    <w:qFormat/>
    <w:uiPriority w:val="0"/>
    <w:pPr>
      <w:widowControl/>
      <w:spacing w:before="100" w:beforeAutospacing="1" w:after="100" w:afterAutospacing="1"/>
      <w:jc w:val="left"/>
    </w:pPr>
    <w:rPr>
      <w:color w:val="444444"/>
      <w:kern w:val="0"/>
      <w:sz w:val="20"/>
      <w:szCs w:val="20"/>
    </w:rPr>
  </w:style>
  <w:style w:type="paragraph" w:customStyle="1" w:styleId="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2">
    <w:name w:val="font11"/>
    <w:basedOn w:val="1"/>
    <w:qFormat/>
    <w:uiPriority w:val="0"/>
    <w:pPr>
      <w:widowControl/>
      <w:spacing w:before="100" w:beforeAutospacing="1" w:after="100" w:afterAutospacing="1"/>
      <w:jc w:val="left"/>
    </w:pPr>
    <w:rPr>
      <w:rFonts w:ascii="方正仿宋_GBK" w:hAnsi="宋体" w:eastAsia="方正仿宋_GBK" w:cs="宋体"/>
      <w:color w:val="444444"/>
      <w:kern w:val="0"/>
      <w:sz w:val="20"/>
      <w:szCs w:val="20"/>
    </w:rPr>
  </w:style>
  <w:style w:type="paragraph" w:customStyle="1" w:styleId="43">
    <w:name w:val="font12"/>
    <w:basedOn w:val="1"/>
    <w:qFormat/>
    <w:uiPriority w:val="0"/>
    <w:pPr>
      <w:widowControl/>
      <w:spacing w:before="100" w:beforeAutospacing="1" w:after="100" w:afterAutospacing="1"/>
      <w:jc w:val="left"/>
    </w:pPr>
    <w:rPr>
      <w:rFonts w:ascii="Calibri" w:hAnsi="Calibri" w:cs="宋体"/>
      <w:color w:val="000000"/>
      <w:kern w:val="0"/>
      <w:sz w:val="20"/>
      <w:szCs w:val="20"/>
    </w:rPr>
  </w:style>
  <w:style w:type="paragraph" w:customStyle="1" w:styleId="44">
    <w:name w:val="font13"/>
    <w:basedOn w:val="1"/>
    <w:qFormat/>
    <w:uiPriority w:val="0"/>
    <w:pPr>
      <w:widowControl/>
      <w:spacing w:before="100" w:beforeAutospacing="1" w:after="100" w:afterAutospacing="1"/>
      <w:jc w:val="left"/>
    </w:pPr>
    <w:rPr>
      <w:kern w:val="0"/>
      <w:sz w:val="20"/>
      <w:szCs w:val="20"/>
    </w:rPr>
  </w:style>
  <w:style w:type="paragraph" w:customStyle="1" w:styleId="45">
    <w:name w:val="font14"/>
    <w:basedOn w:val="1"/>
    <w:qFormat/>
    <w:uiPriority w:val="0"/>
    <w:pPr>
      <w:widowControl/>
      <w:spacing w:before="100" w:beforeAutospacing="1" w:after="100" w:afterAutospacing="1"/>
      <w:jc w:val="left"/>
    </w:pPr>
    <w:rPr>
      <w:rFonts w:ascii="方正仿宋_GBK" w:hAnsi="宋体" w:eastAsia="方正仿宋_GBK" w:cs="宋体"/>
      <w:kern w:val="0"/>
      <w:sz w:val="20"/>
      <w:szCs w:val="20"/>
    </w:rPr>
  </w:style>
  <w:style w:type="paragraph" w:customStyle="1" w:styleId="46">
    <w:name w:val="font15"/>
    <w:basedOn w:val="1"/>
    <w:qFormat/>
    <w:uiPriority w:val="0"/>
    <w:pPr>
      <w:widowControl/>
      <w:spacing w:before="100" w:beforeAutospacing="1" w:after="100" w:afterAutospacing="1"/>
      <w:jc w:val="left"/>
    </w:pPr>
    <w:rPr>
      <w:rFonts w:ascii="方正仿宋_GBK" w:hAnsi="宋体" w:eastAsia="方正仿宋_GBK" w:cs="宋体"/>
      <w:color w:val="FF0000"/>
      <w:kern w:val="0"/>
      <w:sz w:val="20"/>
      <w:szCs w:val="20"/>
    </w:rPr>
  </w:style>
  <w:style w:type="paragraph" w:customStyle="1" w:styleId="47">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8">
    <w:name w:val="font17"/>
    <w:basedOn w:val="1"/>
    <w:qFormat/>
    <w:uiPriority w:val="0"/>
    <w:pPr>
      <w:widowControl/>
      <w:spacing w:before="100" w:beforeAutospacing="1" w:after="100" w:afterAutospacing="1"/>
      <w:jc w:val="left"/>
    </w:pPr>
    <w:rPr>
      <w:rFonts w:ascii="宋体" w:hAnsi="宋体" w:cs="宋体"/>
      <w:color w:val="444444"/>
      <w:kern w:val="0"/>
      <w:sz w:val="20"/>
      <w:szCs w:val="20"/>
    </w:rPr>
  </w:style>
  <w:style w:type="paragraph" w:customStyle="1" w:styleId="4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444444"/>
      <w:kern w:val="0"/>
      <w:sz w:val="20"/>
      <w:szCs w:val="20"/>
    </w:rPr>
  </w:style>
  <w:style w:type="paragraph" w:customStyle="1" w:styleId="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444444"/>
      <w:kern w:val="0"/>
      <w:sz w:val="20"/>
      <w:szCs w:val="20"/>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20"/>
      <w:szCs w:val="20"/>
    </w:rPr>
  </w:style>
  <w:style w:type="paragraph" w:customStyle="1" w:styleId="61">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79646"/>
      <w:kern w:val="0"/>
      <w:sz w:val="20"/>
      <w:szCs w:val="20"/>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kern w:val="0"/>
      <w:sz w:val="20"/>
      <w:szCs w:val="20"/>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character" w:customStyle="1" w:styleId="70">
    <w:name w:val="页脚 Char"/>
    <w:basedOn w:val="19"/>
    <w:qFormat/>
    <w:uiPriority w:val="99"/>
    <w:rPr>
      <w:sz w:val="18"/>
      <w:szCs w:val="18"/>
    </w:rPr>
  </w:style>
  <w:style w:type="character" w:customStyle="1" w:styleId="71">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E19EA-4CE0-49CE-B63A-3D2A6CFBAE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39221</Words>
  <Characters>45471</Characters>
  <Lines>374</Lines>
  <Paragraphs>105</Paragraphs>
  <TotalTime>0</TotalTime>
  <ScaleCrop>false</ScaleCrop>
  <LinksUpToDate>false</LinksUpToDate>
  <CharactersWithSpaces>47085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2022-01-25T01:33:00Z</dcterms:created>
  <dc:creator>PC</dc:creator>
  <cp:lastModifiedBy>建委系统管理员[cxjw]</cp:lastModifiedBy>
  <cp:lastPrinted>2022-03-09T05:30:00Z</cp:lastPrinted>
  <dcterms:modified xsi:type="dcterms:W3CDTF">2023-05-12T00:53:11Z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59F64826E6E24319B3F84B3A02CB2816</vt:lpwstr>
  </property>
</Properties>
</file>