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（第四批）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eastAsia" w:eastAsia="方正仿宋_GBK" w:cs="Times New Roman"/>
          <w:kern w:val="0"/>
          <w:szCs w:val="32"/>
          <w:lang w:eastAsia="zh-CN"/>
        </w:rPr>
        <w:t>第四批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拟录用公务员予以公示。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重庆市南川区东城街道和平支路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6号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附：拟录用公务员公示表（第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批）</w:t>
      </w:r>
    </w:p>
    <w:p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（第四批）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2"/>
        <w:gridCol w:w="1024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杨喻婷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四川外国语大学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重庆市渝北区锦华学校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4032805601629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70.975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65FA6-6B5D-4D7D-9BB0-0E3C8B0A22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13B5A0B0-460F-4EAE-961A-11E75286B5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98F5C8-C900-4717-8D40-7F90567E717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6031743-29E6-4A12-B7DA-1DDFB6B5DA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3A16CC4-4B08-45A8-9155-8DD95A0000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D050833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1226AA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CF7F04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73C13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524</Characters>
  <Lines>0</Lines>
  <Paragraphs>0</Paragraphs>
  <TotalTime>138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2024-07-09T09:29:05Z</cp:lastPrinted>
  <dcterms:modified xsi:type="dcterms:W3CDTF">2024-07-09T10:09:08Z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C10413F7A9704BDFB19E93F7E30DDA24</vt:lpwstr>
  </property>
</Properties>
</file>