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0"/>
          <w:sz w:val="52"/>
          <w:szCs w:val="5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sz w:val="52"/>
          <w:szCs w:val="52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52"/>
          <w:szCs w:val="52"/>
          <w:highlight w:val="none"/>
          <w:lang w:val="en-US" w:eastAsia="zh-CN"/>
        </w:rPr>
        <w:t>南川区打造营商环境标杆城市10条措施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实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施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方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74"/>
          <w:szCs w:val="74"/>
          <w:highlight w:val="none"/>
          <w:lang w:val="en-US" w:eastAsia="zh-CN"/>
        </w:rPr>
        <w:t>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楷体_GBK" w:cs="Times New Roman"/>
          <w:sz w:val="36"/>
          <w:szCs w:val="36"/>
          <w:highlight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shd w:val="clear" w:color="auto" w:fill="auto"/>
        <w:kinsoku/>
        <w:topLinePunct w:val="0"/>
        <w:bidi w:val="0"/>
        <w:spacing w:before="0" w:beforeLines="0" w:after="0" w:afterLines="0"/>
        <w:ind w:left="0" w:leftChars="0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企业事“一窗办”实施方案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开办企业“近快办”实施方案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用地审批“一码办”实施方案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行政执法“综合查一次”实施方案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</w:t>
      </w:r>
      <w:r>
        <w:rPr>
          <w:rFonts w:hint="eastAsia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Times New Roman" w:hAnsi="Times New Roman" w:eastAsia="方正仿宋_GBK" w:cs="Times New Roman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电气领域“一表清”实施方案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6.限下招标“双随机”实施方案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企呼我为“闭环办”实施方案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政府企业“双兑现”实施方案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涉诉企业调解“靠前办”实施方案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distribute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ectPr>
          <w:pgSz w:w="11906" w:h="16838"/>
          <w:pgMar w:top="1814" w:right="1134" w:bottom="1814" w:left="1814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最佳案例“大家评”实施方案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......................................................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  <w:t>南川区企业事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  <w:t>一窗办</w:t>
      </w:r>
      <w:r>
        <w:rPr>
          <w:rFonts w:hint="eastAsia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  <w:t>”实施</w:t>
      </w: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highlight w:val="none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区政务办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进一步提升办事效能，设立企业服务专区，增强帮办代办能力，实现企业办事“一窗办成”。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持续提升办事效能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.优化规范审批服务。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涉企政务服务事项办理时限较法定时限压缩90%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完成时间：持续推进。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.深化政务服务“一窗综办”。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按照“前台综合受理、后台分类审批、综合窗口出件”模式，实现“一窗受理、综合服务”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完成时间：2024年5月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.提升涉及企业“一件事一次办”集成服务办理质效。做好市级统筹“一件事”套餐的承接落实，持续“减环节、减时间、减材料、减跑动”。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完成时间：持续推进。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（二）设立“1+N企业服务专区”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1.打造1个“企业之家”服务平台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集成金融服务、惠企政策、协调议事、帮办代办、商务洽谈、诉求接处等功能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在区行政服务中心规划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开放式、会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客式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企业之家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2024年5月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2.设立N个“企业服务专区”。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在无差别综合服务区及公安、医保、不动产、人社、公积金等领域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分别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设置涉企服务专窗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（专区）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，开通涉企服务绿色通道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2024年5月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（三）推动服务扩面增效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1.增强帮办代办能力。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健全帮办代办体系，打造优质帮办代办队伍，为企业提供政务服务事项全程帮办代办服务。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2024年6月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推出“企业工程建设审批全流程一次性告知”等数字应用场景。实现工程建设项目精准化、智慧化服务。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kern w:val="0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2024年6月</w:t>
      </w:r>
    </w:p>
    <w:p>
      <w:pPr>
        <w:pStyle w:val="2"/>
        <w:pageBreakBefore w:val="0"/>
        <w:topLinePunct w:val="0"/>
        <w:bidi w:val="0"/>
        <w:spacing w:before="0" w:beforeLines="0" w:after="0" w:afterLines="0" w:line="560" w:lineRule="exact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br w:type="page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both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eastAsia="zh-CN" w:bidi="ar"/>
        </w:rPr>
        <w:t>南川区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bidi="ar"/>
        </w:rPr>
        <w:t>开办企业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eastAsia="zh-CN" w:bidi="ar"/>
        </w:rPr>
        <w:t>“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bidi="ar"/>
        </w:rPr>
        <w:t>近快办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eastAsia="zh-CN" w:bidi="ar"/>
        </w:rPr>
        <w:t>”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highlight w:val="none"/>
          <w:shd w:val="clear" w:color="auto" w:fill="FFFFFF"/>
          <w:lang w:bidi="ar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方正仿宋_GBK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区市场监管局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围绕企业设立登记，为企业提供就近办、全程帮办代办服务，压缩市场主体营业执照办理时限，着力解决市场主体“来回跑”问题，提升市场主体获得感。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（一）选设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服务点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在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工业园区龙岩组团、盛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亚祥集群注册地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shd w:val="clear" w:color="auto" w:fill="FFFFFF"/>
          <w:lang w:eastAsia="zh-CN" w:bidi="ar"/>
        </w:rPr>
        <w:t>、小青蛙集群注册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地、美佳美建材专业市场、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16个镇街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市场监管所（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东城、南城、西城、三泉、大观所、黎香湖、兴隆、水江、山王坪、楠竹山、鸣玉所、南平、金山、头渡所、大有、古花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等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20个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区域设立开办企业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“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近快办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”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服务点，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统一悬挂服务点标牌，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bidi="ar"/>
        </w:rPr>
        <w:t>配置专业人员，提供咨询、指导、帮办等一站式服务。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区市场监管局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加大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对各服务点开办企业注册登记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情况抽查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督促整改提升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完成时限：2024年4月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压缩办理时限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公开开办企业“近快办”工作流程（见附件），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持续压缩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开办企业营业执照办理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时限，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严格执行注册</w:t>
      </w:r>
      <w:r>
        <w:rPr>
          <w:rFonts w:hint="default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登记事项限时办结，缩短业务办理时限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shd w:val="clear" w:color="auto" w:fill="FFFFFF"/>
          <w:lang w:val="en-US" w:eastAsia="zh-CN" w:bidi="ar"/>
        </w:rPr>
        <w:t>至0.5天。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完成时限：2024年4月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附件：开办企业“近快办”工作流程图</w:t>
      </w:r>
    </w:p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</w:t>
      </w:r>
    </w:p>
    <w:p>
      <w:pPr>
        <w:pStyle w:val="4"/>
        <w:jc w:val="both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drawing>
          <wp:inline distT="0" distB="0" distL="114300" distR="114300">
            <wp:extent cx="5883275" cy="4304030"/>
            <wp:effectExtent l="0" t="0" r="3175" b="1270"/>
            <wp:docPr id="2" name="图片 2" descr="开办企业“近快办”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办企业“近快办”工作流程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3275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</w:rPr>
      </w:pP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</w:rPr>
        <w:t>南川区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用地审批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</w:rPr>
        <w:t>一码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办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  <w:lang w:val="en-US" w:eastAsia="zh-CN"/>
        </w:rPr>
        <w:t>实施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pacing w:val="0"/>
          <w:sz w:val="44"/>
          <w:szCs w:val="44"/>
          <w:highlight w:val="none"/>
        </w:rPr>
        <w:t>方案</w:t>
      </w:r>
    </w:p>
    <w:p>
      <w:pPr>
        <w:pStyle w:val="3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42" w:beforeLines="100" w:after="442" w:afterLines="100" w:line="560" w:lineRule="exact"/>
        <w:ind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区规划自然资源局</w:t>
      </w:r>
    </w:p>
    <w:p>
      <w:pPr>
        <w:spacing w:line="48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</w:rPr>
        <w:t>一、实施目标</w:t>
      </w:r>
    </w:p>
    <w:p>
      <w:pPr>
        <w:overflowPunct w:val="0"/>
        <w:adjustRightInd w:val="0"/>
        <w:snapToGrid w:val="0"/>
        <w:spacing w:line="480" w:lineRule="exact"/>
        <w:ind w:firstLine="643" w:firstLineChars="200"/>
        <w:jc w:val="lef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通过“一码”打通土地全生命周期业务流和数据流，一码串联规划编制、土地供应、规划许可、竣工验收及不动产登记全过程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Times New Roman"/>
          <w:b/>
          <w:bCs/>
          <w:snapToGrid w:val="0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签订土地出让合同到办理不动产权证，全流程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环节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由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13个优化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6个，提交材料由36件减少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至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12件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，切实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提升企业获得感、满意度。</w:t>
      </w:r>
    </w:p>
    <w:p>
      <w:pPr>
        <w:spacing w:line="48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</w:rPr>
        <w:t>二、实施步骤</w:t>
      </w:r>
    </w:p>
    <w:p>
      <w:pPr>
        <w:spacing w:line="480" w:lineRule="exact"/>
        <w:ind w:firstLine="640" w:firstLineChars="200"/>
        <w:jc w:val="left"/>
        <w:rPr>
          <w:rFonts w:ascii="方正黑体_GBK" w:hAnsi="方正黑体_GBK" w:eastAsia="方正黑体_GBK" w:cs="方正黑体_GBK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（一）土地出让类项目用地“一码办”</w:t>
      </w:r>
      <w:r>
        <w:rPr>
          <w:rFonts w:hint="eastAsia" w:ascii="方正仿宋_GBK" w:hAnsi="Times New Roman" w:eastAsia="方正仿宋_GBK" w:cs="Times New Roman"/>
          <w:sz w:val="32"/>
          <w:szCs w:val="22"/>
        </w:rPr>
        <w:t>在国土空间信息平台全流程运行。</w:t>
      </w:r>
    </w:p>
    <w:p>
      <w:pPr>
        <w:spacing w:line="480" w:lineRule="exact"/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2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完成时间：2024年</w:t>
      </w: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</w:rPr>
        <w:t>4月</w:t>
      </w:r>
    </w:p>
    <w:p>
      <w:pPr>
        <w:spacing w:line="480" w:lineRule="exact"/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（二）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土地划拨类项目用地“一码办”</w:t>
      </w:r>
      <w:r>
        <w:rPr>
          <w:rFonts w:hint="eastAsia" w:ascii="方正仿宋_GBK" w:hAnsi="Times New Roman" w:eastAsia="方正仿宋_GBK" w:cs="Times New Roman"/>
          <w:sz w:val="32"/>
          <w:szCs w:val="22"/>
        </w:rPr>
        <w:t>在国土空间信息平台全流程运行。</w:t>
      </w:r>
    </w:p>
    <w:p>
      <w:pPr>
        <w:spacing w:line="480" w:lineRule="exact"/>
        <w:ind w:firstLine="640" w:firstLineChars="200"/>
        <w:jc w:val="left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</w:rPr>
        <w:t>完成时间：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2024年</w:t>
      </w: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</w:rPr>
        <w:t>9月</w:t>
      </w:r>
    </w:p>
    <w:p>
      <w:pPr>
        <w:spacing w:line="4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完善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咨询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。设立企业用地审批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</w:rPr>
        <w:t>“一码办”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热线电话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023-71422479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在政务大厅规划自然资源窗口设置专人咨询服务。</w:t>
      </w:r>
    </w:p>
    <w:p>
      <w:pPr>
        <w:spacing w:line="480" w:lineRule="exact"/>
        <w:ind w:firstLine="640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完成时间：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2024年</w:t>
      </w:r>
      <w:r>
        <w:rPr>
          <w:rFonts w:hint="eastAsia" w:ascii="方正楷体_GBK" w:hAnsi="Times New Roman" w:eastAsia="方正楷体_GBK" w:cs="Times New Roman"/>
          <w:snapToGrid w:val="0"/>
          <w:kern w:val="0"/>
          <w:sz w:val="32"/>
          <w:szCs w:val="32"/>
        </w:rPr>
        <w:t>4月</w:t>
      </w:r>
    </w:p>
    <w:p>
      <w:pPr>
        <w:spacing w:line="540" w:lineRule="exact"/>
        <w:rPr>
          <w:rFonts w:hint="eastAsia" w:ascii="Times New Roman" w:hAnsi="Times New Roman" w:eastAsia="方正仿宋_GBK" w:cs="Times New Roman"/>
          <w:sz w:val="32"/>
          <w:szCs w:val="2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2"/>
        </w:rPr>
      </w:pPr>
      <w:r>
        <w:rPr>
          <w:rFonts w:hint="eastAsia" w:ascii="Times New Roman" w:hAnsi="Times New Roman" w:eastAsia="方正仿宋_GBK" w:cs="Times New Roman"/>
          <w:sz w:val="32"/>
          <w:szCs w:val="2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一码</w:t>
      </w:r>
      <w:r>
        <w:rPr>
          <w:rFonts w:hint="eastAsia" w:ascii="Times New Roman" w:hAnsi="Times New Roman" w:eastAsia="方正仿宋_GBK" w:cs="Times New Roman"/>
          <w:sz w:val="32"/>
          <w:szCs w:val="22"/>
          <w:lang w:eastAsia="zh-CN"/>
        </w:rPr>
        <w:t>办”</w:t>
      </w:r>
      <w:r>
        <w:rPr>
          <w:rFonts w:hint="eastAsia" w:ascii="Times New Roman" w:hAnsi="Times New Roman" w:eastAsia="方正仿宋_GBK" w:cs="Times New Roman"/>
          <w:sz w:val="32"/>
          <w:szCs w:val="22"/>
        </w:rPr>
        <w:t>各环节材料清单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附件</w:t>
      </w:r>
    </w:p>
    <w:p>
      <w:pPr>
        <w:spacing w:line="560" w:lineRule="exact"/>
        <w:rPr>
          <w:rFonts w:hint="eastAsia" w:ascii="方正黑体_GBK" w:hAnsi="方正黑体_GBK" w:eastAsia="方正黑体_GBK" w:cs="方正黑体_GBK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一码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办”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各环节材料清单</w:t>
      </w:r>
    </w:p>
    <w:tbl>
      <w:tblPr>
        <w:tblStyle w:val="17"/>
        <w:tblW w:w="9735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40"/>
        <w:gridCol w:w="2665"/>
        <w:gridCol w:w="819"/>
        <w:gridCol w:w="1065"/>
        <w:gridCol w:w="825"/>
        <w:gridCol w:w="136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序号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环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节</w:t>
            </w:r>
          </w:p>
        </w:tc>
        <w:tc>
          <w:tcPr>
            <w:tcW w:w="5374" w:type="dxa"/>
            <w:gridSpan w:val="4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申报材料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办理成果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最终成效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00" w:type="dxa"/>
            <w:vMerge w:val="continue"/>
            <w:noWrap w:val="0"/>
            <w:vAlign w:val="top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材料名称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改变做法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来源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渠道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  <w:t>获取方式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20" w:firstLineChars="200"/>
              <w:jc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用地规划条件集成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1.用地清单初步成果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储备机构提供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1.用地清单</w:t>
            </w:r>
          </w:p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2.加盖公章的《用地地籍调查报告》</w:t>
            </w:r>
          </w:p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3.规划条件及附图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一次发起，并行办理用地清单、勘测定界及地籍调查、规划条件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2.用地地籍调查报告初步成果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3.1：500现状地形图（含地下管网及地下建（构）筑物）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土地出让合同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1.受让人关于签订出让合同的申请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交易中心移交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土地出让合同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5项减为1项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2.申请人身份证明材料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交易中心移交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3.营业执照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4.成交确认书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5.不动产登记申请书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前置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3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建设用地规划许可证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1.建设项目规划管理报建申请表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免提交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国土空间信息平台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建设用地规划许可证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零次跑、零材料，领取用地规划许可证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2.主管部门的批准、核准、备案文件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3.申请人身份证明材料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4.1：500现状地形图（含地下管网及地下建（构）筑物）（如现势性时限超一年须由企业提供）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4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出让国有建设用地使用权首次登记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1.不动产登记申请书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</w:t>
            </w:r>
          </w:p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国土空间信息平台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不动产权证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零次跑、零材料，领取不动产权证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2.土地出让价款缴纳凭证和完税凭证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非税系统、税务系统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接口共享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3.申请人身份证明材料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国土空间信息平台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4.国有建设用地使用权出让合同、用地红线图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5.不动产权籍调查表、宗地图以及宗地界址点坐标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不动产登记系统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5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建设工程规划许可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1.建设项目规划管理报建申请表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建设工程</w:t>
            </w:r>
          </w:p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规划许可证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10项减为3项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方正仿宋_GBK" w:cs="宋体"/>
                <w:kern w:val="0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宋体" w:hAnsi="宋体" w:eastAsia="方正仿宋_GBK" w:cs="宋体"/>
                <w:kern w:val="0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2.申请人身份证明材料或委托代为申请的应提供委托书（如申请建设项目用地预审与选址意见书或用地许可时已提供，无需再提供）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</w:t>
            </w:r>
          </w:p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公安局或市场监管局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接口共享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方正仿宋_GBK" w:cs="宋体"/>
                <w:kern w:val="0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left"/>
              <w:rPr>
                <w:rFonts w:ascii="宋体" w:hAnsi="宋体" w:eastAsia="方正仿宋_GBK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3.1：500现状地形图（含地下管网及地下建（构）筑物）（如现势性时限超一年，需由申请人提供）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用地规划条件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4.建设工程设计方案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5.三维仿真建筑精模</w:t>
            </w:r>
          </w:p>
        </w:tc>
        <w:tc>
          <w:tcPr>
            <w:tcW w:w="819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合并到建设工程设计方案中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6.建设工程建筑面积及计容建筑面积明细表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7.外立面装饰细化设计图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8.建设工程技术经济指标计算书</w:t>
            </w:r>
          </w:p>
        </w:tc>
        <w:tc>
          <w:tcPr>
            <w:tcW w:w="819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9.土地使用证明文件及附图（未录入不动产登记系统的，需由申请人提供）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不动产登记系统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10.工业仓储类建筑工程告知承诺书（企业选择以告知承诺方式办理提供该材料）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6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建设工程规划核验（验收）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1.多测合一测绘成果（社会投资小型低风险建设项目不需提供本项材料，特殊工程和交通、水利、能源等领域的重大工程提供竣工规划核实测量报告。）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多测合一成果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接口共享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《建设工程竣工规划核实确认书》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3项减为2项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2.申请人身份证明材料（仅用于核对身份，若与上申报阶段提供一致且符合要求的则可不提供）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公安局或市场监管局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接口共享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28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3.重庆市房屋建筑和市政基础设施工程竣工联合验收申报表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7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国有建设用地使用权及房屋所有权首次登记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1.不动产登记申请书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6项减为3项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2.申请人身份证明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公安局或市场监管局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接口共享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3.《建设工程竣工规划核实确认书》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国土空间信息平台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4.房地产调查报告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5.属集资建房或经济适用房的应提交有权部门的批准文件，属联建项目的应提交联建及房屋分配协议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保留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申请人提供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一窗收取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6.不动产权属证书或土地权属来源材料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免</w:t>
            </w:r>
          </w:p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提交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不动产登记系统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>内部共享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overflowPunct w:val="0"/>
              <w:snapToGrid w:val="0"/>
              <w:spacing w:line="32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rPr>
          <w:rFonts w:hint="default"/>
          <w:highlight w:val="none"/>
        </w:rPr>
      </w:pPr>
      <w:r>
        <w:rPr>
          <w:rFonts w:hint="default"/>
          <w:highlight w:val="none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560" w:lineRule="exact"/>
        <w:ind w:left="0" w:leftChars="0" w:right="0"/>
        <w:jc w:val="both"/>
        <w:textAlignment w:val="baseline"/>
        <w:rPr>
          <w:rFonts w:hint="eastAsia" w:ascii="Times New Roman" w:hAnsi="Times New Roman" w:eastAsia="方正小标宋_GBK" w:cs="Times New Roman"/>
          <w:b w:val="0"/>
          <w:bCs w:val="0"/>
          <w:snapToGrid/>
          <w:color w:val="auto"/>
          <w:spacing w:val="4"/>
          <w:kern w:val="0"/>
          <w:sz w:val="44"/>
          <w:szCs w:val="44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spacing w:val="4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spacing w:val="4"/>
          <w:kern w:val="0"/>
          <w:sz w:val="44"/>
          <w:szCs w:val="44"/>
          <w:highlight w:val="none"/>
          <w:lang w:val="en-US" w:eastAsia="zh-CN" w:bidi="ar"/>
        </w:rPr>
        <w:t>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napToGrid/>
          <w:color w:val="auto"/>
          <w:spacing w:val="4"/>
          <w:kern w:val="0"/>
          <w:sz w:val="44"/>
          <w:szCs w:val="44"/>
          <w:highlight w:val="none"/>
          <w:lang w:val="en-US" w:eastAsia="zh-CN" w:bidi="ar"/>
        </w:rPr>
        <w:t>“综合查一次”</w:t>
      </w:r>
      <w:r>
        <w:rPr>
          <w:rFonts w:hint="default" w:ascii="Times New Roman" w:hAnsi="Times New Roman" w:eastAsia="方正小标宋_GBK" w:cs="Times New Roman"/>
          <w:b w:val="0"/>
          <w:bCs w:val="0"/>
          <w:snapToGrid/>
          <w:color w:val="auto"/>
          <w:spacing w:val="4"/>
          <w:kern w:val="0"/>
          <w:sz w:val="44"/>
          <w:szCs w:val="44"/>
          <w:highlight w:val="none"/>
          <w:lang w:val="en-US" w:eastAsia="zh-CN" w:bidi="ar"/>
        </w:rPr>
        <w:t>实施方案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16" w:beforeLines="100" w:beforeAutospacing="0" w:after="316" w:afterLines="100" w:afterAutospacing="0" w:line="580" w:lineRule="exact"/>
        <w:ind w:left="0" w:leftChars="0" w:right="0"/>
        <w:jc w:val="center"/>
        <w:textAlignment w:val="baseline"/>
        <w:rPr>
          <w:rFonts w:hint="default" w:ascii="方正楷体_GBK" w:hAnsi="方正楷体_GBK" w:eastAsia="方正楷体_GBK" w:cs="方正楷体_GBK"/>
          <w:b w:val="0"/>
          <w:bCs w:val="0"/>
          <w:snapToGrid/>
          <w:color w:val="auto"/>
          <w:spacing w:val="4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napToGrid/>
          <w:color w:val="auto"/>
          <w:spacing w:val="4"/>
          <w:kern w:val="0"/>
          <w:sz w:val="32"/>
          <w:szCs w:val="32"/>
          <w:highlight w:val="none"/>
          <w:lang w:val="en-US" w:eastAsia="zh-CN" w:bidi="ar"/>
        </w:rPr>
        <w:t>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在园区范围内实行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综合查一次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组团式执法，实现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进一次门、查多项事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打破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随意执法、重复执法、多头执法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等现状，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切实降低企业迎检频次。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eastAsia="宋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shd w:val="clear" w:fill="FFFFFF"/>
          <w:lang w:val="en-US" w:eastAsia="zh-CN" w:bidi="ar"/>
        </w:rPr>
        <w:t>应用场景清单</w:t>
      </w:r>
      <w:r>
        <w:rPr>
          <w:rFonts w:hint="eastAsia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梳理涉及园区企业的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检查清单，形成针对不同类别企业（食品药品企业、工业企业、物流运输企业）的检查场景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规范</w:t>
      </w:r>
      <w:r>
        <w:rPr>
          <w:rFonts w:hint="default" w:ascii="Times New Roman" w:hAnsi="Times New Roman" w:eastAsia="方正楷体_GBK" w:cs="Times New Roman"/>
          <w:snapToGrid/>
          <w:color w:val="auto"/>
          <w:kern w:val="0"/>
          <w:sz w:val="32"/>
          <w:szCs w:val="32"/>
          <w:shd w:val="clear" w:fill="FFFFFF"/>
          <w:lang w:val="en-US" w:eastAsia="zh-CN" w:bidi="ar"/>
        </w:rPr>
        <w:t>编制检查计划</w:t>
      </w:r>
      <w:r>
        <w:rPr>
          <w:rFonts w:hint="eastAsia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统筹市场监管、生态环境、应急管理等11个行业部门，结合“双随机、一公开”和其他执法检查任务，制定“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综合查一次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”季度性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完成时间：每季度首月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楷体_GBK" w:cs="Times New Roman"/>
          <w:snapToGrid/>
          <w:color w:val="auto"/>
          <w:kern w:val="0"/>
          <w:sz w:val="32"/>
          <w:szCs w:val="32"/>
          <w:shd w:val="clear" w:fill="FFFFFF"/>
          <w:lang w:val="en-US" w:eastAsia="zh-CN" w:bidi="ar"/>
        </w:rPr>
        <w:t>定期开展执法检查。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除专项监督检查、涉及投诉举报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、突发事件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等情况外，每月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在园区开展一次“综合查一次”执法检查。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每个企业同一季度只接受一次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综合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执法检查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完成时间：每季度开展。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黑体_GBK" w:hAnsi="Courier New" w:eastAsia="方正仿宋_GBK" w:cs="Times New Roman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4.</w:t>
      </w:r>
      <w:r>
        <w:rPr>
          <w:rFonts w:hint="eastAsia" w:ascii="Times New Roman" w:hAnsi="Times New Roman" w:eastAsia="方正楷体_GBK" w:cs="Times New Roman"/>
          <w:b w:val="0"/>
          <w:bCs w:val="0"/>
          <w:kern w:val="0"/>
          <w:sz w:val="32"/>
          <w:szCs w:val="32"/>
          <w:lang w:val="en-US" w:eastAsia="zh-CN" w:bidi="ar-SA"/>
        </w:rPr>
        <w:t>强化监督机制。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  <w:lang w:val="en-US" w:eastAsia="zh-CN" w:bidi="ar-SA"/>
        </w:rPr>
        <w:t>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司法局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通过受理投诉举报、开展专项监督等形式，对行政执法机关“综合查一次”情况进行核实，对不按规定擅自检查，增加企业负担的，移交有权部门处理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default" w:ascii="方正黑体_GBK" w:hAnsi="Courier New" w:eastAsia="方正仿宋_GBK" w:cs="Times New Roman"/>
          <w:b w:val="0"/>
          <w:bCs w:val="0"/>
          <w:color w:val="auto"/>
          <w:kern w:val="2"/>
          <w:sz w:val="32"/>
          <w:szCs w:val="21"/>
          <w:highlight w:val="none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完成时间：长期坚持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8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="0" w:afterAutospacing="0" w:line="560" w:lineRule="exact"/>
        <w:ind w:left="0" w:leftChars="0" w:right="0"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 w:val="0"/>
          <w:snapToGrid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sectPr>
          <w:headerReference r:id="rId4" w:type="default"/>
          <w:footerReference r:id="rId5" w:type="default"/>
          <w:pgSz w:w="11906" w:h="16838"/>
          <w:pgMar w:top="2098" w:right="1531" w:bottom="2041" w:left="1587" w:header="851" w:footer="992" w:gutter="0"/>
          <w:pgNumType w:fmt="decimal"/>
          <w:cols w:space="72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南川区水电气领域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一表清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56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</w:rPr>
        <w:t>区经济信息委、区城市管理局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一、实施目标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坚持问题导向，紧贴用户关切，聚焦水电气行业堵点、痛点、难点和焦点，深入开展问题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智治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，全面提升水电气领域服务便利度和群众满意度。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实施步骤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（一）用能诊断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“</w:t>
      </w:r>
      <w:r>
        <w:rPr>
          <w:rFonts w:hint="eastAsia" w:eastAsia="方正楷体_GBK"/>
          <w:color w:val="000000"/>
          <w:sz w:val="32"/>
          <w:szCs w:val="32"/>
        </w:rPr>
        <w:t>降成本</w:t>
      </w:r>
      <w:r>
        <w:rPr>
          <w:rFonts w:hint="eastAsia" w:ascii="Times New Roman" w:hAnsi="Times New Roman" w:eastAsia="方正楷体_GBK" w:cs="Times New Roman"/>
          <w:color w:val="000000"/>
          <w:sz w:val="32"/>
          <w:szCs w:val="32"/>
          <w:lang w:eastAsia="zh-CN"/>
        </w:rPr>
        <w:t>”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1.适用对象：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存量重点用能企业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主要内容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区供电公司、各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管道天然气经营企业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、区自来水公司、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泽禹供水公司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分别对月执行电价超过1元/度、年用气量10万方以上、年用水量1万吨以上的存量重点用能企业开展用能体检，为企业出具一对一用能优化方案，降低企业用能成本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lang w:val="en-US" w:eastAsia="zh-CN"/>
        </w:rPr>
        <w:t>完成时间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长期坚持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（二）电力报装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网上办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1.适用对象：所有电力报装用户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主要内容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（1）提升办电便捷度。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多渠道获取用户用电时序和需求，提前布局电网配套。办电业务依托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渝快办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平台共享证照信息，精简办电材料，提升办电便捷度。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（2）提升办电透明度。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网上国网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电力报装全流程管控和全流程查询等手段，严格执行办电时限服务承诺制，即低压居民3个工作日内接电、无工程的低压非居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个工作日内接电、有工程的低压非居15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天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内接电、高压客户竣工报验后5个工作日内送电，提升办电时效性。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（3）提升办电规范性。用户可通过区经济信息委设立的投诉电话（023-71422916）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或全区企呼我为统一投诉电话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（023-71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992345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）及邮箱（ncjxw71422552@126.com）及时反馈办电问题。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完成时间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 xml:space="preserve">（三）燃气报装 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一表清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1. 适用对象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在集镇建成区和城市建成区市政燃气管网已覆盖区域，非居用户委托燃气公司实施报装工程。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2.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主要内容：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3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（1）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燃气报装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“一表清”。</w:t>
      </w:r>
      <w:r>
        <w:rPr>
          <w:rFonts w:ascii="Calibri" w:hAnsi="Calibri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 各</w:t>
      </w:r>
      <w:r>
        <w:rPr>
          <w:rFonts w:ascii="Calibri" w:hAnsi="Calibri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管道天然气经营企业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出台天然气报装“一表清”物料清单，实现物料价格透明化，用户自主选择材料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类型和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价格。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30"/>
        <w:jc w:val="left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（2）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中小商户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“一口价”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 xml:space="preserve"> 针对中小型商业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用户，出台报装价格更优惠的 “一口价”套餐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，</w:t>
      </w:r>
      <w:r>
        <w:rPr>
          <w:rFonts w:ascii="Calibri" w:hAnsi="Calibri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各</w:t>
      </w:r>
      <w:r>
        <w:rPr>
          <w:rFonts w:ascii="Calibri" w:hAnsi="Calibri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管道天然气经营企业</w:t>
      </w:r>
      <w:r>
        <w:rPr>
          <w:rFonts w:hint="eastAsia" w:ascii="Calibri" w:hAnsi="Calibri" w:eastAsia="方正仿宋_GBK" w:cs="Times New Roman"/>
          <w:color w:val="000000"/>
          <w:kern w:val="0"/>
          <w:sz w:val="32"/>
          <w:szCs w:val="32"/>
          <w:lang w:val="en-US" w:eastAsia="zh-CN" w:bidi="ar-SA"/>
        </w:rPr>
        <w:t>公布“一口价”套餐所含物料明细供用户选择。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jc w:val="left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（3）报装申请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“零跑腿”。设立全区统一燃气报装电话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023-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71420888，用户可通过统一报装电话、渝快办APP等渠道申请燃气报装，报装申请完成后1个工作日内管道天然气经营企业告知用户受理情况并完成现场勘查。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30"/>
        <w:jc w:val="left"/>
        <w:textAlignment w:val="auto"/>
        <w:rPr>
          <w:rFonts w:ascii="Times New Roman" w:hAnsi="Times New Roman" w:eastAsia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方案费用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“全透明”。管道天然气经营企业根据现场勘查情况，1个工作日内向用户提供接气方案，经双方签字认可后，管道天然气经营企业按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双方签字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确定的方案及用户选择的物料类型，依据“一表清”物料清单向用户提供报装费用明细（包括人工费用、材料、数量、价格等）。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）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监督检查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“全覆盖”。区经济信息委联合区发展改革委、区市场监管局等价格管理部门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定期和不定期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对管道天然气经营企业物料清单公示情况、燃气报装“一表清”执行情况开展抽查检查，确保燃气报装抽查比例不低于50%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完成时间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（四）城市供水报装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承诺办</w:t>
      </w:r>
      <w:r>
        <w:rPr>
          <w:rFonts w:hint="eastAsia" w:ascii="Times New Roman" w:hAnsi="Times New Roman" w:eastAsia="方正楷体_GBK" w:cs="Times New Roman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Times New Roman" w:cs="Times New Roman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.适用对象：区自来水公司供区范围内的非居用户供水报装服务。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Times New Roman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主要内容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Times New Roman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）申请并签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承诺书。非居报装用户可通过政务办综合窗口、渝快办、水电气讯一窗联办窗口、区自来水公司微信公众号、营业厅窗口等渠道，向区自来水公司发起费用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最后办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申请，并签署南川区用水报装费用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最后办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（2）直接进场施工。区自来水有限公司在收到承诺书后，应该在2个工作日内完成全部接入通水工作，期间非居报装用户无需提供任何资料、无需缴纳任何费用。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（3）履行承诺付费。区自来水公司在接入通水后，将详细费用清单告知非居报装用户，非居报装用户应在接到费用清单60天内，按承诺书完成承诺事项。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  <w:lang w:val="en-US" w:eastAsia="zh-CN"/>
        </w:rPr>
        <w:t>完成时间</w:t>
      </w:r>
      <w:r>
        <w:rPr>
          <w:rFonts w:hint="default" w:ascii="Times New Roman" w:hAnsi="Times New Roman" w:eastAsia="方正楷体_GBK" w:cs="Times New Roman"/>
          <w:b w:val="0"/>
          <w:bCs/>
          <w:color w:val="000000"/>
          <w:kern w:val="0"/>
          <w:sz w:val="32"/>
          <w:szCs w:val="32"/>
        </w:rPr>
        <w:t>：</w:t>
      </w:r>
      <w:r>
        <w:rPr>
          <w:rFonts w:hint="default" w:ascii="Times New Roman" w:hAnsi="Times New Roman" w:eastAsia="方正楷体_GBK" w:cs="Times New Roman"/>
          <w:kern w:val="0"/>
          <w:sz w:val="32"/>
          <w:szCs w:val="32"/>
        </w:rPr>
        <w:t>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南川区限下招标“双随机”实施方案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560" w:lineRule="exact"/>
        <w:ind w:right="0" w:rightChars="0"/>
        <w:jc w:val="center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区发展改革委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进一步优化招投标领域营商环境，规范限额以下工程发包行为，助力打造公平竞争的市场环境。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（一）建立健全限下项目发包管理体系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出台《南川区限额以下工程建设项目发包管理办法（试行）》，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明确将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辖区内使用各类公共资金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包括财政预算资金、国有资金、集体所有资金、村社自有资金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5万以上400万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的工程项目纳入集中监管，发包方式为随机抽选、公开比价、竞争性比选、直接确定、自主发包等。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（二）全面推行限下项目电子化交易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完善限下项目电子化交易制度规则，搭建限额以下工程项目电子交易系统，推动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5万以上400万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的工程项目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全部通过电子交易系统进行招标投标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（三）健全限下项目信用监管体系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建立健全限下项目参与主体信用监管体系，明确不良行为记分情形，确保限下项目诚信履约。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（四）强化合同履约监管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行业主管部门对所属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限下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“双随机、一公开”监管，随机抽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比例不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低于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充分发挥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设立全区限下项目招投标监管热线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 w:bidi="ar-SA"/>
        </w:rPr>
        <w:t>023-71423026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</w:t>
      </w:r>
      <w:r>
        <w:rPr>
          <w:rFonts w:hint="eastAsia" w:ascii="方正楷体_GBK" w:hAnsi="方正楷体_GBK" w:eastAsia="方正楷体_GBK" w:cs="方正楷体_GBK"/>
          <w:b w:val="0"/>
          <w:kern w:val="2"/>
          <w:sz w:val="32"/>
          <w:szCs w:val="32"/>
          <w:lang w:val="en-US" w:eastAsia="zh-CN" w:bidi="ar-SA"/>
        </w:rPr>
        <w:t>长期坚持。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</w:p>
    <w:p>
      <w:pP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南川区企呼我为“闭环办”实施方案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after="315" w:afterLines="100" w:line="594" w:lineRule="exact"/>
        <w:ind w:right="0" w:rightChars="0"/>
        <w:jc w:val="center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区发展改革委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一、实施目标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搭建南川区企业诉求平台，建立诉求闭环办理机制，确保企业诉求“件件有落实、事事有回音”，提升企业获得感、幸福感、认同感。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（一）搭建多维度诉求收集渠道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.平台反馈。在区政府门户网站（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http://www.cqnc.gov.cn/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）、“南川发布”公众号（微信搜索公众号“南川发布”）等媒介，设立“企呼我为”诉求办理专区。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完成时间：门户网站2024年5月上旬、公众号5月中旬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.电话反馈。设立全区企业诉求反馈热线电话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023-71992345，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投诉时间为上午8:30-下午6:00，节假日不休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完成时间：2024年4月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.线下反馈。在区政府大楼、工业园区、政务大厅设立“营商环境意见反馈箱”，每日收集清空。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完成时间：2024年4月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（二）建立“企呼我为”企业诉求闭环办理机制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针对企业通过平台、电话、线下等渠道反馈的诉求，建立“收集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交办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办理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反馈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销号</w:t>
      </w:r>
      <w:r>
        <w:rPr>
          <w:rFonts w:hint="eastAsia" w:ascii="方正仿宋_GBK" w:hAnsi="方正仿宋_GBK" w:cs="方正仿宋_GBK"/>
          <w:sz w:val="32"/>
          <w:szCs w:val="32"/>
          <w:highlight w:val="none"/>
          <w:lang w:val="en-US" w:eastAsia="zh-CN"/>
        </w:rPr>
        <w:t>—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回访”闭环管理机制，由区营商办每天汇总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收集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企业诉求，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个工作日送达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交办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单”（详见附件），相关单位接到交办后主动联系市场主体，精准摸清诉求内容，积极开展问题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办理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，原则上简单问题2个工作日办结，复杂问题不超过10个工作日，并将办理情况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反馈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至区营商办，由区营商办回访企业进行满意度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评价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，对不满意的再次交办，直至企业满意才可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销号，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涉及向企业承诺办结时限的，由区营商办按时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u w:val="none"/>
          <w:lang w:val="en-US" w:eastAsia="zh-CN"/>
        </w:rPr>
        <w:t>回访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u w:val="none"/>
          <w:lang w:val="en-US" w:eastAsia="zh-CN"/>
        </w:rPr>
        <w:t>承诺办理情况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  <w:t>完成时间：已完成，能够正常办理企业诉求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>附件：南川区“企呼我为闭环办”企业诉求交办单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南川区“企呼我为闭环办”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企业诉求交办单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编号：ncqhww2024-01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交办单位：区营商办（区发展改革委代章）      交办时间：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日</w:t>
      </w:r>
    </w:p>
    <w:tbl>
      <w:tblPr>
        <w:tblStyle w:val="18"/>
        <w:tblpPr w:leftFromText="180" w:rightFromText="180" w:vertAnchor="text" w:horzAnchor="page" w:tblpX="1811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505"/>
        <w:gridCol w:w="1262"/>
        <w:gridCol w:w="544"/>
        <w:gridCol w:w="1172"/>
        <w:gridCol w:w="47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3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诉求内容</w:t>
            </w:r>
          </w:p>
        </w:tc>
        <w:tc>
          <w:tcPr>
            <w:tcW w:w="70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0" w:firstLineChars="200"/>
              <w:jc w:val="left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□简单问题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□一般问题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□复杂问题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办结时限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个工作日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70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办理情况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（承办单位填写）</w:t>
            </w:r>
          </w:p>
        </w:tc>
        <w:tc>
          <w:tcPr>
            <w:tcW w:w="70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部门办理联系人及电话：         办理单位签章：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销号管理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（区营商办填写）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1120" w:firstLineChars="400"/>
              <w:jc w:val="both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□满意  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4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085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□同意销号        □持续跟踪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                区营商办签章：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20" w:firstLineChars="14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t>备注：1.请各承办单位主动联系企业，摸清详细诉求，限时办结，及时反馈。办理情况内容要实，应明确与企业联系情况、办理情况、具体事项办结时限等。</w:t>
      </w:r>
    </w:p>
    <w:p>
      <w:pPr>
        <w:numPr>
          <w:ilvl w:val="0"/>
          <w:numId w:val="0"/>
        </w:numPr>
        <w:ind w:firstLine="1050" w:firstLineChars="500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2.</w:t>
      </w:r>
      <w:r>
        <w:rPr>
          <w:rFonts w:hint="eastAsia" w:ascii="Calibri" w:hAnsi="Calibri" w:eastAsia="宋体" w:cs="Times New Roman"/>
          <w:lang w:val="en-US" w:eastAsia="zh-CN"/>
        </w:rPr>
        <w:t>区营商办将对交办单的承办量、办结率、及时率、满意率等进行月度通报。</w:t>
      </w:r>
    </w:p>
    <w:p>
      <w:pPr>
        <w:numPr>
          <w:ilvl w:val="0"/>
          <w:numId w:val="0"/>
        </w:numPr>
        <w:ind w:firstLine="1050" w:firstLineChars="500"/>
        <w:rPr>
          <w:rFonts w:hint="default" w:ascii="Calibri" w:hAnsi="Calibri" w:eastAsia="宋体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3.</w:t>
      </w:r>
      <w:r>
        <w:rPr>
          <w:rFonts w:hint="eastAsia" w:ascii="Calibri" w:hAnsi="Calibri" w:eastAsia="宋体" w:cs="Times New Roman"/>
          <w:lang w:val="en-US" w:eastAsia="zh-CN"/>
        </w:rPr>
        <w:t>区营商办联系电话：71992345</w:t>
      </w:r>
      <w:r>
        <w:rPr>
          <w:rFonts w:hint="eastAsia" w:cs="Times New Roman"/>
          <w:lang w:val="en-US" w:eastAsia="zh-CN"/>
        </w:rPr>
        <w:t>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="0" w:afterAutospacing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spacing w:val="-5"/>
          <w:kern w:val="0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highlight w:val="none"/>
        </w:rPr>
        <w:br w:type="page"/>
      </w:r>
    </w:p>
    <w:p>
      <w:pPr>
        <w:widowControl/>
        <w:shd w:val="clear" w:color="auto" w:fill="FFFFFF"/>
        <w:snapToGrid w:val="0"/>
        <w:spacing w:line="560" w:lineRule="exact"/>
        <w:jc w:val="both"/>
        <w:rPr>
          <w:rFonts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南川区政府企业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eastAsia="zh-CN" w:bidi="ar"/>
        </w:rPr>
        <w:t>“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双兑现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eastAsia="zh-CN" w:bidi="ar"/>
        </w:rPr>
        <w:t>”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实施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  <w:highlight w:val="none"/>
          <w:shd w:val="clear" w:color="auto" w:fill="FFFFFF"/>
          <w:lang w:bidi="ar"/>
        </w:rPr>
        <w:t>方案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6" w:beforeLines="100" w:after="316" w:afterLines="100" w:line="560" w:lineRule="exact"/>
        <w:ind w:firstLine="640" w:firstLineChars="200"/>
        <w:jc w:val="center"/>
        <w:textAlignment w:val="auto"/>
        <w:rPr>
          <w:rFonts w:ascii="Times New Roman" w:hAnsi="Times New Roman" w:eastAsia="方正仿宋_GBK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工业园区管委会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一、实施目标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加强诚信政府建设，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提升企业在南投资兴业信心，促进企业诚信践诺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，以“双兑现”激发生产力。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二、实施步骤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（一）形成兑现清单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以招商签约协议为依据，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全面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梳理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企业履约情况和政府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应兑未兑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”情况，分类建立“企业履约台账”和“政府兑现台账”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完成时限：2024年4月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（二）审核认定兑现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对已履约未兑现企业，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开展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部门联合审查，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审查结果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提请“双兑现”工作领导小组审定，统筹调度资金及时兑付。涉及其他政策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未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兑现的，由工业园区管委会会同有关部门组织实施。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完成时限：长期坚持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（三）企业履约跟踪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对未履约和新签约企业，由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工业园区管委会“一对一”全程跟踪服务，指导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提醒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企业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及时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履约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，履约后按程序及时兑付政府相关支持政策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 w:bidi="ar"/>
        </w:rPr>
        <w:t>完成时限：长期坚持</w:t>
      </w:r>
    </w:p>
    <w:p>
      <w:pPr>
        <w:spacing w:line="594" w:lineRule="exact"/>
        <w:rPr>
          <w:rFonts w:hint="eastAsia" w:eastAsia="方正仿宋_GBK" w:cs="方正仿宋_GBK"/>
          <w:sz w:val="32"/>
          <w:szCs w:val="32"/>
          <w:highlight w:val="none"/>
        </w:rPr>
        <w:sectPr>
          <w:headerReference r:id="rId6" w:type="default"/>
          <w:footerReference r:id="rId7" w:type="default"/>
          <w:pgSz w:w="11906" w:h="16838"/>
          <w:pgMar w:top="1984" w:right="1446" w:bottom="1644" w:left="1446" w:header="851" w:footer="1474" w:gutter="0"/>
          <w:cols w:space="720" w:num="1"/>
          <w:docGrid w:type="lines" w:linePitch="314" w:charSpace="0"/>
        </w:sect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南川</w:t>
      </w:r>
      <w:r>
        <w:rPr>
          <w:rFonts w:ascii="Times New Roman" w:hAnsi="Times New Roman" w:eastAsia="方正小标宋_GBK"/>
          <w:sz w:val="44"/>
          <w:szCs w:val="44"/>
          <w:highlight w:val="none"/>
        </w:rPr>
        <w:t>区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val="en-US" w:eastAsia="zh-CN"/>
        </w:rPr>
        <w:t>涉诉企业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调解</w:t>
      </w:r>
      <w:r>
        <w:rPr>
          <w:rFonts w:hint="eastAsia" w:ascii="Times New Roman" w:hAnsi="Times New Roman" w:eastAsia="方正小标宋_GBK"/>
          <w:sz w:val="44"/>
          <w:szCs w:val="44"/>
          <w:highlight w:val="none"/>
          <w:lang w:eastAsia="zh-CN"/>
        </w:rPr>
        <w:t>“靠前办”实施</w:t>
      </w:r>
      <w:r>
        <w:rPr>
          <w:rFonts w:hint="eastAsia" w:ascii="Times New Roman" w:hAnsi="Times New Roman" w:eastAsia="方正小标宋_GBK"/>
          <w:sz w:val="44"/>
          <w:szCs w:val="44"/>
          <w:highlight w:val="none"/>
        </w:rPr>
        <w:t>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580" w:lineRule="exact"/>
        <w:jc w:val="center"/>
        <w:textAlignment w:val="auto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highlight w:val="none"/>
          <w:lang w:val="en-US" w:eastAsia="zh-CN"/>
        </w:rPr>
        <w:t>区法院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一、实施目标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完善诉源治理机制，畅通诉前调解“绿色通道”，丰富涉企纠纷化解方式，降低市场主体诉讼成本。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1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仿宋_GBK" w:eastAsia="方正仿宋_GBK" w:cs="黑体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 w:cs="黑体"/>
          <w:sz w:val="32"/>
          <w:szCs w:val="32"/>
        </w:rPr>
        <w:t>完善“最多跑一次”司法服务</w:t>
      </w:r>
      <w:r>
        <w:rPr>
          <w:rFonts w:hint="eastAsia" w:ascii="方正仿宋_GBK" w:eastAsia="方正仿宋_GBK" w:cs="黑体"/>
          <w:sz w:val="32"/>
          <w:szCs w:val="32"/>
          <w:lang w:eastAsia="zh-CN"/>
        </w:rPr>
        <w:t>机制。</w:t>
      </w:r>
      <w:r>
        <w:rPr>
          <w:rFonts w:hint="eastAsia" w:ascii="方正仿宋_GBK" w:eastAsia="方正仿宋_GBK" w:cs="黑体"/>
          <w:sz w:val="32"/>
          <w:szCs w:val="32"/>
        </w:rPr>
        <w:t>在手续材料提交等方面给予企业更多便利，确保立案环节实现涉企纠纷案件当事人“最多跑一次”。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仿宋_GBK" w:eastAsia="方正仿宋_GBK" w:cs="黑体"/>
          <w:sz w:val="32"/>
          <w:szCs w:val="32"/>
          <w:lang w:eastAsia="zh-CN"/>
        </w:rPr>
      </w:pPr>
      <w:r>
        <w:rPr>
          <w:rFonts w:hint="eastAsia" w:ascii="方正仿宋_GBK" w:eastAsia="方正仿宋_GBK" w:cs="黑体"/>
          <w:sz w:val="32"/>
          <w:szCs w:val="32"/>
          <w:lang w:eastAsia="zh-CN"/>
        </w:rPr>
        <w:t>完成时间：已完成，持续推进。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2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Times New Roman" w:eastAsia="方正仿宋_GBK" w:cs="宋体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开展涉诉企业“法治体检”。针对涉诉企业当事人，主动联合相关职能部门共同联席会商，一事一议研讨调解方案，助力企业防范化解风险。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仿宋_GBK" w:eastAsia="方正仿宋_GBK" w:cs="黑体"/>
          <w:sz w:val="32"/>
          <w:szCs w:val="32"/>
          <w:lang w:eastAsia="zh-CN"/>
        </w:rPr>
      </w:pPr>
      <w:r>
        <w:rPr>
          <w:rFonts w:hint="eastAsia" w:ascii="方正仿宋_GBK" w:eastAsia="方正仿宋_GBK" w:cs="黑体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 w:cs="黑体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20" w:firstLine="640"/>
        <w:jc w:val="both"/>
        <w:textAlignment w:val="auto"/>
        <w:rPr>
          <w:rFonts w:hint="eastAsia" w:ascii="方正仿宋_GBK" w:hAnsi="Times New Roman" w:eastAsia="方正仿宋_GBK" w:cs="宋体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Times New Roman" w:eastAsia="方正仿宋_GBK" w:cs="宋体"/>
          <w:kern w:val="2"/>
          <w:sz w:val="32"/>
          <w:szCs w:val="32"/>
          <w:lang w:val="en-US" w:eastAsia="zh-CN" w:bidi="ar-SA"/>
        </w:rPr>
        <w:t>优化保全措施。全面引导涉诉企业申请诉讼保全，以保全促调解、促执行。坚持推行“保全+保险”工作机制，减轻企业申请保全负担。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仿宋_GBK" w:eastAsia="方正仿宋_GBK" w:cs="黑体"/>
          <w:sz w:val="32"/>
          <w:szCs w:val="32"/>
          <w:lang w:eastAsia="zh-CN"/>
        </w:rPr>
      </w:pPr>
      <w:r>
        <w:rPr>
          <w:rFonts w:hint="eastAsia" w:ascii="方正仿宋_GBK" w:eastAsia="方正仿宋_GBK" w:cs="黑体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</w:t>
      </w:r>
      <w:r>
        <w:rPr>
          <w:rFonts w:hint="eastAsia" w:ascii="方正仿宋_GBK" w:eastAsia="方正仿宋_GBK" w:cs="黑体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2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.建立综合调处机制。推动将涉企案件化解作为区平安建设考核重点内容，对进入诉讼的涉企案件，推动建立“区法院清理移交-区矛调中心统一交办-各责任单位限时调处”机制。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textAlignment w:val="auto"/>
        <w:rPr>
          <w:rFonts w:hint="eastAsia" w:ascii="方正仿宋_GBK" w:eastAsia="方正仿宋_GBK" w:cs="黑体"/>
          <w:sz w:val="32"/>
          <w:szCs w:val="32"/>
          <w:lang w:eastAsia="zh-CN"/>
        </w:rPr>
      </w:pPr>
      <w:r>
        <w:rPr>
          <w:rFonts w:hint="eastAsia" w:ascii="方正仿宋_GBK" w:eastAsia="方正仿宋_GBK" w:cs="黑体"/>
          <w:sz w:val="32"/>
          <w:szCs w:val="32"/>
          <w:lang w:eastAsia="zh-CN"/>
        </w:rPr>
        <w:t>完成时间：已完成，持续推进。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20" w:firstLine="64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方正仿宋_GBK" w:hAnsi="Times New Roman" w:eastAsia="方正仿宋_GBK" w:cs="宋体"/>
          <w:kern w:val="2"/>
          <w:sz w:val="32"/>
          <w:szCs w:val="32"/>
          <w:lang w:val="en-US" w:eastAsia="zh-CN" w:bidi="ar-SA"/>
        </w:rPr>
        <w:t>优化涉企业执行工作。探索建立执行前调解机制，推行涉诉企业执行和解，在调解、和解期内在财产处置、信用惩戒方面给予企业一定缓冲期，助力企业继续生产经营。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1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完成时间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：2024年4</w:t>
      </w:r>
      <w:r>
        <w:rPr>
          <w:rFonts w:hint="eastAsia" w:ascii="方正仿宋_GBK" w:hAnsi="Times New Roman" w:eastAsia="方正仿宋_GBK" w:cs="宋体"/>
          <w:kern w:val="2"/>
          <w:sz w:val="32"/>
          <w:szCs w:val="32"/>
          <w:lang w:val="en-US" w:eastAsia="zh-CN" w:bidi="ar-SA"/>
        </w:rPr>
        <w:t>月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南川区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“最佳案例大家评”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实施方案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beforeAutospacing="0" w:after="316" w:afterLines="100" w:afterAutospacing="0" w:line="580" w:lineRule="exact"/>
        <w:ind w:left="0" w:leftChars="0"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区发展改革委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实施目标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通过正向激励，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年开展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“南川区优化营商环境最佳示范案例”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大家评活动，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催生一批服企助企惠企过程中的标杆和榜样，营造服务企业光荣的鲜明导向，引导全区上下更加主动、更加精准、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更加倾心倾情服务企业，切实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  <w:highlight w:val="none"/>
          <w:lang w:val="en-US" w:eastAsia="zh-CN"/>
        </w:rPr>
        <w:t>提升企业获得感、幸福感、认同感。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bookmarkStart w:id="0" w:name="_Toc1943"/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（一）参评对象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各乡镇党委、人民政府，各街道党工委、办事处，区委各部委，区级国家机关各部门，各人民团体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及其他涉企服务单位或个人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区内各市场主体。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（二）评选步骤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1.申报阶段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参赛单位将案例申报材料报区营商办汇总，鼓励附件提供照片或视频资料。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初选阶段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由区营商办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统筹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，对征集案例进行初步审核，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选出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符合评比标准的案例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3.网络票选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。对初选案例进行网络票选，综合评选15个案例进入决赛。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4.决赛阶段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线下开展南川区“最佳案例大家评”决赛评比活动，入围决赛单位现场讲解案例内容，由营商环境观察员代表、企业代表、人大代表、政协委员等组成评委组现场打分，形成10个案例名单。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5.确定入选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：区营商办将决赛获胜名单提请区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政府常务会和区委常委会审议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，确定本年度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南川区优化营商环境最佳示范案例名单。</w:t>
      </w:r>
    </w:p>
    <w:bookmarkEnd w:id="0"/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月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6.表彰奖励：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入选案例在下一年度全区优化营商环境大会上予以表彰奖励。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完成时间：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2025年一季度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531" w:bottom="2041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D23FDC-CE33-4834-80ED-9EA34DFC2C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B92EB9F5-E88B-4F63-A6AD-737740D22C7F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7E4F854-6C05-48EB-9A31-74B5F60B9B18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4BB2ED5-401B-4EC1-AC82-7C7A0E041CF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D2A47EE-CA09-4037-A7FB-0CEACAD0C76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2D51F66E-ED35-4268-9F39-8860AF03412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C42F240-0359-4DAB-9F50-7A334ED49B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default"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22"/>
      </w:tabs>
      <w:spacing w:line="179" w:lineRule="auto"/>
      <w:rPr>
        <w:rFonts w:hint="eastAsia" w:ascii="宋体" w:hAnsi="宋体" w:eastAsia="宋体" w:cs="宋体"/>
        <w:sz w:val="27"/>
        <w:szCs w:val="27"/>
        <w:lang w:eastAsia="zh-CN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Times New Roman" w:hAnsi="Times New Roman" w:cs="Times New Roman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Times New Roman" w:hAnsi="Times New Roman" w:cs="Times New Roman"/>
                        <w:sz w:val="18"/>
                        <w:szCs w:val="20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TRlY2U5MTMwZDhhOGQyMjM5N2NkZjI2ZTNmODkifQ=="/>
  </w:docVars>
  <w:rsids>
    <w:rsidRoot w:val="00172A27"/>
    <w:rsid w:val="00536C9A"/>
    <w:rsid w:val="00B341C8"/>
    <w:rsid w:val="014C6B51"/>
    <w:rsid w:val="01DB1247"/>
    <w:rsid w:val="023905D7"/>
    <w:rsid w:val="02E144BD"/>
    <w:rsid w:val="03046EEF"/>
    <w:rsid w:val="03CF6155"/>
    <w:rsid w:val="048D17D5"/>
    <w:rsid w:val="05192523"/>
    <w:rsid w:val="05467D5B"/>
    <w:rsid w:val="0696086E"/>
    <w:rsid w:val="06962C7A"/>
    <w:rsid w:val="071C4639"/>
    <w:rsid w:val="07575A59"/>
    <w:rsid w:val="07AC22B3"/>
    <w:rsid w:val="082B7813"/>
    <w:rsid w:val="08EA160E"/>
    <w:rsid w:val="09AC3B77"/>
    <w:rsid w:val="09CF4096"/>
    <w:rsid w:val="09D4558A"/>
    <w:rsid w:val="09EB2C7F"/>
    <w:rsid w:val="0A8B6BF1"/>
    <w:rsid w:val="0AC20ED7"/>
    <w:rsid w:val="0AD76615"/>
    <w:rsid w:val="0ADC1200"/>
    <w:rsid w:val="0B775EA1"/>
    <w:rsid w:val="0BE25A21"/>
    <w:rsid w:val="0C4C3AE9"/>
    <w:rsid w:val="0C522046"/>
    <w:rsid w:val="0CDD03C9"/>
    <w:rsid w:val="0D693198"/>
    <w:rsid w:val="0DD634F0"/>
    <w:rsid w:val="0DF203EA"/>
    <w:rsid w:val="0E1210EB"/>
    <w:rsid w:val="0E5721EA"/>
    <w:rsid w:val="0E686BCD"/>
    <w:rsid w:val="0EF95E3E"/>
    <w:rsid w:val="0F032535"/>
    <w:rsid w:val="0F2C7B13"/>
    <w:rsid w:val="0F5A115D"/>
    <w:rsid w:val="0FD52407"/>
    <w:rsid w:val="101F3746"/>
    <w:rsid w:val="10AC13BA"/>
    <w:rsid w:val="12483F6A"/>
    <w:rsid w:val="1261278F"/>
    <w:rsid w:val="129C4AF1"/>
    <w:rsid w:val="129D16BF"/>
    <w:rsid w:val="1322592B"/>
    <w:rsid w:val="137A20FF"/>
    <w:rsid w:val="13F94DB6"/>
    <w:rsid w:val="14055CBB"/>
    <w:rsid w:val="14235A62"/>
    <w:rsid w:val="14870709"/>
    <w:rsid w:val="15DD6303"/>
    <w:rsid w:val="16270D3D"/>
    <w:rsid w:val="17A162C2"/>
    <w:rsid w:val="17D3608C"/>
    <w:rsid w:val="17E65B30"/>
    <w:rsid w:val="17F67EE0"/>
    <w:rsid w:val="18423A7C"/>
    <w:rsid w:val="1844119B"/>
    <w:rsid w:val="18710536"/>
    <w:rsid w:val="1893014C"/>
    <w:rsid w:val="18EC395A"/>
    <w:rsid w:val="1A1660DA"/>
    <w:rsid w:val="1A2D4CBB"/>
    <w:rsid w:val="1A89121A"/>
    <w:rsid w:val="1AA92D4B"/>
    <w:rsid w:val="1AD15965"/>
    <w:rsid w:val="1AEE76BC"/>
    <w:rsid w:val="1AF84DB2"/>
    <w:rsid w:val="1B122762"/>
    <w:rsid w:val="1D152552"/>
    <w:rsid w:val="1DAB77C5"/>
    <w:rsid w:val="1E1B36DB"/>
    <w:rsid w:val="1E64181B"/>
    <w:rsid w:val="1FE76C1B"/>
    <w:rsid w:val="20A84C10"/>
    <w:rsid w:val="20C52024"/>
    <w:rsid w:val="20E9151E"/>
    <w:rsid w:val="21066432"/>
    <w:rsid w:val="220426D8"/>
    <w:rsid w:val="220E41C7"/>
    <w:rsid w:val="22DE117B"/>
    <w:rsid w:val="23871813"/>
    <w:rsid w:val="247E4225"/>
    <w:rsid w:val="255A4346"/>
    <w:rsid w:val="258764BC"/>
    <w:rsid w:val="258C59D8"/>
    <w:rsid w:val="258E3529"/>
    <w:rsid w:val="25BE0888"/>
    <w:rsid w:val="26405964"/>
    <w:rsid w:val="26525A2E"/>
    <w:rsid w:val="26633E71"/>
    <w:rsid w:val="26AB5A8A"/>
    <w:rsid w:val="270D324D"/>
    <w:rsid w:val="27307DB0"/>
    <w:rsid w:val="28164755"/>
    <w:rsid w:val="28363AEB"/>
    <w:rsid w:val="284A740F"/>
    <w:rsid w:val="285C61F8"/>
    <w:rsid w:val="286B525F"/>
    <w:rsid w:val="287C2FFC"/>
    <w:rsid w:val="28A42BC3"/>
    <w:rsid w:val="291814EB"/>
    <w:rsid w:val="29516ADF"/>
    <w:rsid w:val="2AF46579"/>
    <w:rsid w:val="2C471DB1"/>
    <w:rsid w:val="2D282227"/>
    <w:rsid w:val="2D400B54"/>
    <w:rsid w:val="2E990795"/>
    <w:rsid w:val="2EB14649"/>
    <w:rsid w:val="2F827680"/>
    <w:rsid w:val="2FD3662E"/>
    <w:rsid w:val="2FE029D7"/>
    <w:rsid w:val="3058256D"/>
    <w:rsid w:val="314371F2"/>
    <w:rsid w:val="31F201D2"/>
    <w:rsid w:val="326D7D7C"/>
    <w:rsid w:val="326F479E"/>
    <w:rsid w:val="32EB1216"/>
    <w:rsid w:val="34541C28"/>
    <w:rsid w:val="34727D99"/>
    <w:rsid w:val="349F07A5"/>
    <w:rsid w:val="34B1732A"/>
    <w:rsid w:val="34D22419"/>
    <w:rsid w:val="350A30A8"/>
    <w:rsid w:val="35490860"/>
    <w:rsid w:val="356C5F55"/>
    <w:rsid w:val="359958FC"/>
    <w:rsid w:val="38116393"/>
    <w:rsid w:val="38EB264A"/>
    <w:rsid w:val="3912527E"/>
    <w:rsid w:val="393039BD"/>
    <w:rsid w:val="39721654"/>
    <w:rsid w:val="39B70BF1"/>
    <w:rsid w:val="39E76033"/>
    <w:rsid w:val="3A2018BE"/>
    <w:rsid w:val="3B4F03C8"/>
    <w:rsid w:val="3B741117"/>
    <w:rsid w:val="3B867BA1"/>
    <w:rsid w:val="3C3E39EF"/>
    <w:rsid w:val="3D90320F"/>
    <w:rsid w:val="3DFF1689"/>
    <w:rsid w:val="3E6E6798"/>
    <w:rsid w:val="3F74782C"/>
    <w:rsid w:val="40243148"/>
    <w:rsid w:val="41577A20"/>
    <w:rsid w:val="41FE700E"/>
    <w:rsid w:val="43A23D14"/>
    <w:rsid w:val="43C73420"/>
    <w:rsid w:val="441D16AC"/>
    <w:rsid w:val="45B51A16"/>
    <w:rsid w:val="45B9189F"/>
    <w:rsid w:val="45CC45F7"/>
    <w:rsid w:val="46395E3E"/>
    <w:rsid w:val="48122BC8"/>
    <w:rsid w:val="483F7B9B"/>
    <w:rsid w:val="49206389"/>
    <w:rsid w:val="49220480"/>
    <w:rsid w:val="496E1B29"/>
    <w:rsid w:val="49BC54C3"/>
    <w:rsid w:val="49FD612F"/>
    <w:rsid w:val="4B475260"/>
    <w:rsid w:val="4CCB0D25"/>
    <w:rsid w:val="4D237C5B"/>
    <w:rsid w:val="4D286C8E"/>
    <w:rsid w:val="4D9A70DD"/>
    <w:rsid w:val="4EDB2465"/>
    <w:rsid w:val="4EED07E9"/>
    <w:rsid w:val="4F2C2748"/>
    <w:rsid w:val="4FAC100B"/>
    <w:rsid w:val="50A44264"/>
    <w:rsid w:val="51626547"/>
    <w:rsid w:val="51E40BB1"/>
    <w:rsid w:val="520B238D"/>
    <w:rsid w:val="52D613DA"/>
    <w:rsid w:val="52D80BA3"/>
    <w:rsid w:val="52FA73B6"/>
    <w:rsid w:val="532D499D"/>
    <w:rsid w:val="54334564"/>
    <w:rsid w:val="54424D2F"/>
    <w:rsid w:val="545E787F"/>
    <w:rsid w:val="54633683"/>
    <w:rsid w:val="550708F8"/>
    <w:rsid w:val="5521161C"/>
    <w:rsid w:val="55E06F1C"/>
    <w:rsid w:val="563C1617"/>
    <w:rsid w:val="57414849"/>
    <w:rsid w:val="57B261AE"/>
    <w:rsid w:val="59073CDE"/>
    <w:rsid w:val="59AC40CE"/>
    <w:rsid w:val="5A5621AC"/>
    <w:rsid w:val="5AB401BC"/>
    <w:rsid w:val="5C6D244C"/>
    <w:rsid w:val="5D0F3FF8"/>
    <w:rsid w:val="5D177A43"/>
    <w:rsid w:val="5D7319C7"/>
    <w:rsid w:val="5E0D4237"/>
    <w:rsid w:val="5F010472"/>
    <w:rsid w:val="5F425ACF"/>
    <w:rsid w:val="5F513886"/>
    <w:rsid w:val="5F703B62"/>
    <w:rsid w:val="5FB66778"/>
    <w:rsid w:val="60C43183"/>
    <w:rsid w:val="60D2659C"/>
    <w:rsid w:val="61223840"/>
    <w:rsid w:val="61556F56"/>
    <w:rsid w:val="6169590F"/>
    <w:rsid w:val="619511C3"/>
    <w:rsid w:val="629611DF"/>
    <w:rsid w:val="62CE7C41"/>
    <w:rsid w:val="62E92F24"/>
    <w:rsid w:val="62EF3D34"/>
    <w:rsid w:val="63AE3C93"/>
    <w:rsid w:val="64B111E7"/>
    <w:rsid w:val="64B14444"/>
    <w:rsid w:val="659108EB"/>
    <w:rsid w:val="65A92947"/>
    <w:rsid w:val="65CB23B8"/>
    <w:rsid w:val="66171507"/>
    <w:rsid w:val="66330E75"/>
    <w:rsid w:val="66730FA7"/>
    <w:rsid w:val="66B6315C"/>
    <w:rsid w:val="66D53311"/>
    <w:rsid w:val="67E575AA"/>
    <w:rsid w:val="68345928"/>
    <w:rsid w:val="68A235FA"/>
    <w:rsid w:val="6908207B"/>
    <w:rsid w:val="692E07C5"/>
    <w:rsid w:val="693E62A4"/>
    <w:rsid w:val="69401220"/>
    <w:rsid w:val="695967E4"/>
    <w:rsid w:val="69700315"/>
    <w:rsid w:val="6A134E78"/>
    <w:rsid w:val="6BE575CC"/>
    <w:rsid w:val="6CD56718"/>
    <w:rsid w:val="6D0B47C0"/>
    <w:rsid w:val="6D8C3E50"/>
    <w:rsid w:val="6D8E6FF3"/>
    <w:rsid w:val="6DDB53E5"/>
    <w:rsid w:val="6E823AA9"/>
    <w:rsid w:val="6EE25E1C"/>
    <w:rsid w:val="6EE415A3"/>
    <w:rsid w:val="6F0D763F"/>
    <w:rsid w:val="6F161201"/>
    <w:rsid w:val="6F273DC1"/>
    <w:rsid w:val="6F683873"/>
    <w:rsid w:val="6F700817"/>
    <w:rsid w:val="70441C01"/>
    <w:rsid w:val="705C056C"/>
    <w:rsid w:val="70DF6612"/>
    <w:rsid w:val="715465DF"/>
    <w:rsid w:val="718B1D52"/>
    <w:rsid w:val="724D0AFE"/>
    <w:rsid w:val="725C6020"/>
    <w:rsid w:val="72BD7D3F"/>
    <w:rsid w:val="73263829"/>
    <w:rsid w:val="733E4AD4"/>
    <w:rsid w:val="738F027F"/>
    <w:rsid w:val="748466BA"/>
    <w:rsid w:val="752A62F4"/>
    <w:rsid w:val="76BD6253"/>
    <w:rsid w:val="76C75098"/>
    <w:rsid w:val="770D7D95"/>
    <w:rsid w:val="776E4C01"/>
    <w:rsid w:val="77BB107B"/>
    <w:rsid w:val="78246358"/>
    <w:rsid w:val="78293B99"/>
    <w:rsid w:val="78567C9D"/>
    <w:rsid w:val="78693597"/>
    <w:rsid w:val="791C774D"/>
    <w:rsid w:val="79B570F1"/>
    <w:rsid w:val="7AE80619"/>
    <w:rsid w:val="7B1A4AF4"/>
    <w:rsid w:val="7BBA4757"/>
    <w:rsid w:val="7BCB5107"/>
    <w:rsid w:val="7CE15AE3"/>
    <w:rsid w:val="7CF36FB5"/>
    <w:rsid w:val="7DA261A2"/>
    <w:rsid w:val="7DB50BAF"/>
    <w:rsid w:val="7E020696"/>
    <w:rsid w:val="7E5020A2"/>
    <w:rsid w:val="7F6317BF"/>
    <w:rsid w:val="7F6861E3"/>
    <w:rsid w:val="7FD065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600" w:lineRule="exact"/>
      <w:ind w:firstLine="0" w:firstLineChars="0"/>
      <w:outlineLvl w:val="1"/>
    </w:pPr>
    <w:rPr>
      <w:rFonts w:eastAsia="方正楷体_GBK"/>
      <w:bCs/>
      <w:kern w:val="0"/>
      <w:szCs w:val="32"/>
    </w:rPr>
  </w:style>
  <w:style w:type="paragraph" w:styleId="6">
    <w:name w:val="heading 3"/>
    <w:basedOn w:val="1"/>
    <w:next w:val="1"/>
    <w:unhideWhenUsed/>
    <w:qFormat/>
    <w:uiPriority w:val="0"/>
    <w:pPr>
      <w:spacing w:line="600" w:lineRule="atLeast"/>
      <w:ind w:firstLine="880"/>
      <w:outlineLvl w:val="2"/>
    </w:pPr>
    <w:rPr>
      <w:rFonts w:hint="eastAsia" w:eastAsia="方正楷体_GBK"/>
      <w:szCs w:val="24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468" w:beforeLines="150" w:after="624" w:afterLines="200"/>
    </w:pPr>
    <w:rPr>
      <w:rFonts w:ascii="黑体" w:hAnsi="宋体" w:eastAsia="黑体"/>
      <w:sz w:val="36"/>
    </w:rPr>
  </w:style>
  <w:style w:type="paragraph" w:styleId="3">
    <w:name w:val="toc 5"/>
    <w:next w:val="1"/>
    <w:unhideWhenUsed/>
    <w:qFormat/>
    <w:uiPriority w:val="39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7">
    <w:name w:val="Normal Indent"/>
    <w:basedOn w:val="1"/>
    <w:qFormat/>
    <w:uiPriority w:val="0"/>
    <w:pPr>
      <w:spacing w:line="570" w:lineRule="exact"/>
      <w:ind w:firstLine="616"/>
    </w:pPr>
    <w:rPr>
      <w:rFonts w:cs="黑体"/>
      <w:spacing w:val="-6"/>
    </w:rPr>
  </w:style>
  <w:style w:type="paragraph" w:styleId="8">
    <w:name w:val="index 5"/>
    <w:basedOn w:val="1"/>
    <w:next w:val="1"/>
    <w:qFormat/>
    <w:uiPriority w:val="99"/>
    <w:pPr>
      <w:ind w:right="210" w:rightChars="100" w:firstLine="640"/>
    </w:pPr>
    <w:rPr>
      <w:rFonts w:ascii="方正仿宋_GBK" w:hAnsi="方正仿宋_GBK" w:cs="方正仿宋_GBK"/>
      <w:color w:val="000000"/>
      <w:szCs w:val="32"/>
    </w:rPr>
  </w:style>
  <w:style w:type="paragraph" w:styleId="9">
    <w:name w:val="Body Text Indent"/>
    <w:basedOn w:val="1"/>
    <w:qFormat/>
    <w:uiPriority w:val="0"/>
    <w:pPr>
      <w:ind w:firstLine="200" w:firstLineChars="200"/>
    </w:pPr>
    <w:rPr>
      <w:sz w:val="32"/>
    </w:r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qFormat/>
    <w:uiPriority w:val="0"/>
    <w:pPr>
      <w:snapToGrid w:val="0"/>
      <w:spacing w:line="540" w:lineRule="exact"/>
    </w:pPr>
    <w:rPr>
      <w:rFonts w:ascii="Times New Roman" w:hAnsi="Times New Roman" w:eastAsia="方正仿宋_GBK" w:cs="Times New Roman"/>
      <w:color w:val="000000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4"/>
    </w:rPr>
  </w:style>
  <w:style w:type="paragraph" w:styleId="15">
    <w:name w:val="Body Text First Indent"/>
    <w:qFormat/>
    <w:uiPriority w:val="0"/>
    <w:pPr>
      <w:widowControl w:val="0"/>
      <w:autoSpaceDE w:val="0"/>
      <w:autoSpaceDN w:val="0"/>
      <w:spacing w:after="160"/>
      <w:ind w:left="100" w:leftChars="100" w:right="100" w:rightChars="100" w:firstLine="420" w:firstLineChars="1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6">
    <w:name w:val="Body Text First Indent 2"/>
    <w:basedOn w:val="9"/>
    <w:qFormat/>
    <w:uiPriority w:val="0"/>
    <w:pPr>
      <w:widowControl w:val="0"/>
      <w:adjustRightInd w:val="0"/>
      <w:spacing w:after="120" w:line="312" w:lineRule="atLeast"/>
      <w:ind w:left="42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table" w:styleId="1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basedOn w:val="19"/>
    <w:qFormat/>
    <w:uiPriority w:val="0"/>
  </w:style>
  <w:style w:type="paragraph" w:customStyle="1" w:styleId="22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Calibri" w:cs="Times New Roman"/>
      <w:i/>
      <w:sz w:val="21"/>
      <w:lang w:val="en-US" w:eastAsia="zh-CN" w:bidi="ar-SA"/>
    </w:rPr>
  </w:style>
  <w:style w:type="paragraph" w:customStyle="1" w:styleId="23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Calibri" w:cs="Times New Roman"/>
      <w:i/>
      <w:sz w:val="21"/>
      <w:szCs w:val="22"/>
      <w:lang w:val="en-US" w:eastAsia="zh-CN" w:bidi="ar-SA"/>
    </w:rPr>
  </w:style>
  <w:style w:type="character" w:customStyle="1" w:styleId="24">
    <w:name w:val="font21"/>
    <w:basedOn w:val="19"/>
    <w:qFormat/>
    <w:uiPriority w:val="0"/>
    <w:rPr>
      <w:rFonts w:ascii="方正仿宋_GBK" w:hAnsi="方正仿宋_GBK" w:eastAsia="方正仿宋_GBK" w:cs="方正仿宋_GBK"/>
      <w:color w:val="333333"/>
      <w:sz w:val="28"/>
      <w:szCs w:val="28"/>
      <w:u w:val="none"/>
    </w:rPr>
  </w:style>
  <w:style w:type="character" w:customStyle="1" w:styleId="25">
    <w:name w:val="font11"/>
    <w:basedOn w:val="19"/>
    <w:qFormat/>
    <w:uiPriority w:val="0"/>
    <w:rPr>
      <w:rFonts w:hint="default" w:ascii="Times New Roman" w:hAnsi="Times New Roman" w:cs="Times New Roman"/>
      <w:color w:val="333333"/>
      <w:sz w:val="28"/>
      <w:szCs w:val="28"/>
      <w:u w:val="none"/>
    </w:rPr>
  </w:style>
  <w:style w:type="character" w:customStyle="1" w:styleId="26">
    <w:name w:val="font31"/>
    <w:basedOn w:val="19"/>
    <w:qFormat/>
    <w:uiPriority w:val="0"/>
    <w:rPr>
      <w:rFonts w:ascii="方正仿宋_GBK" w:hAnsi="方正仿宋_GBK" w:eastAsia="方正仿宋_GBK" w:cs="方正仿宋_GBK"/>
      <w:color w:val="333333"/>
      <w:sz w:val="28"/>
      <w:szCs w:val="28"/>
      <w:u w:val="none"/>
    </w:rPr>
  </w:style>
  <w:style w:type="character" w:customStyle="1" w:styleId="27">
    <w:name w:val="font4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8">
    <w:name w:val="font61"/>
    <w:basedOn w:val="1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9">
    <w:name w:val="font51"/>
    <w:basedOn w:val="1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71"/>
    <w:basedOn w:val="19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paragraph" w:customStyle="1" w:styleId="3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方正黑体_GBK" w:eastAsia="方正黑体_GBK" w:cs="Times New Roman"/>
      <w:color w:val="000000"/>
      <w:sz w:val="24"/>
      <w:szCs w:val="22"/>
      <w:lang w:val="en-US" w:eastAsia="zh-CN" w:bidi="ar-SA"/>
    </w:rPr>
  </w:style>
  <w:style w:type="paragraph" w:customStyle="1" w:styleId="3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3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4">
    <w:name w:val="font81"/>
    <w:basedOn w:val="19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table" w:customStyle="1" w:styleId="3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6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customStyle="1" w:styleId="37">
    <w:name w:val="标题 #1"/>
    <w:basedOn w:val="1"/>
    <w:qFormat/>
    <w:uiPriority w:val="0"/>
    <w:pPr>
      <w:spacing w:after="60" w:line="652" w:lineRule="exact"/>
      <w:jc w:val="center"/>
      <w:outlineLvl w:val="0"/>
    </w:pPr>
    <w:rPr>
      <w:rFonts w:ascii="黑体" w:hAnsi="黑体" w:eastAsia="黑体" w:cs="黑体"/>
      <w:color w:val="000000"/>
      <w:kern w:val="0"/>
      <w:sz w:val="36"/>
      <w:szCs w:val="36"/>
      <w:lang w:val="zh-CN" w:bidi="zh-CN"/>
    </w:rPr>
  </w:style>
  <w:style w:type="paragraph" w:customStyle="1" w:styleId="38">
    <w:name w:val="正文文本1"/>
    <w:basedOn w:val="1"/>
    <w:qFormat/>
    <w:uiPriority w:val="0"/>
    <w:pPr>
      <w:spacing w:after="140" w:line="480" w:lineRule="auto"/>
      <w:ind w:firstLine="400"/>
      <w:jc w:val="left"/>
    </w:pPr>
    <w:rPr>
      <w:rFonts w:ascii="宋体" w:hAnsi="宋体"/>
      <w:color w:val="000000"/>
      <w:kern w:val="0"/>
      <w:sz w:val="26"/>
      <w:szCs w:val="26"/>
      <w:lang w:val="zh-CN" w:bidi="zh-CN"/>
    </w:rPr>
  </w:style>
  <w:style w:type="paragraph" w:customStyle="1" w:styleId="39">
    <w:name w:val="No Spacing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40">
    <w:name w:val="index 6"/>
    <w:basedOn w:val="1"/>
    <w:qFormat/>
    <w:uiPriority w:val="0"/>
    <w:pPr>
      <w:kinsoku w:val="0"/>
      <w:autoSpaceDE w:val="0"/>
      <w:autoSpaceDN w:val="0"/>
      <w:adjustRightInd w:val="0"/>
      <w:snapToGrid w:val="0"/>
      <w:ind w:left="2100"/>
      <w:jc w:val="left"/>
      <w:textAlignment w:val="baseline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7334</Words>
  <Characters>8244</Characters>
  <Lines>0</Lines>
  <Paragraphs>0</Paragraphs>
  <TotalTime>12</TotalTime>
  <ScaleCrop>false</ScaleCrop>
  <LinksUpToDate>false</LinksUpToDate>
  <CharactersWithSpaces>8371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蛆</cp:lastModifiedBy>
  <cp:lastPrinted>2024-04-19T01:03:00Z</cp:lastPrinted>
  <dcterms:modified xsi:type="dcterms:W3CDTF">2024-07-09T01:18:35Z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9C7A6D1DDF364C0D9B1FC073821B6898</vt:lpwstr>
  </property>
</Properties>
</file>